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9B46C" w14:textId="40BA5FDC" w:rsidR="00216E6A" w:rsidRPr="005A2EF7" w:rsidRDefault="00216E6A" w:rsidP="005A2EF7">
      <w:pPr>
        <w:spacing w:after="60"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eastAsia="Calibri" w:hAnsiTheme="minorHAnsi" w:cstheme="minorHAnsi"/>
          <w:b/>
          <w:color w:val="002060"/>
          <w:sz w:val="22"/>
          <w:szCs w:val="22"/>
          <w:lang w:eastAsia="en-US"/>
        </w:rPr>
        <w:t>RÉSZLETES SAJTÓ</w:t>
      </w:r>
      <w:r w:rsidR="00AC28A3" w:rsidRPr="00C50A21">
        <w:rPr>
          <w:rFonts w:asciiTheme="minorHAnsi" w:eastAsia="Calibri" w:hAnsiTheme="minorHAnsi" w:cstheme="minorHAnsi"/>
          <w:b/>
          <w:color w:val="002060"/>
          <w:sz w:val="22"/>
          <w:szCs w:val="22"/>
          <w:lang w:eastAsia="en-US"/>
        </w:rPr>
        <w:t>ÖSSZEFOGLALÓK</w:t>
      </w:r>
    </w:p>
    <w:p w14:paraId="430C5AE6" w14:textId="3A8DD78F" w:rsidR="006A0673" w:rsidRPr="00C50A21" w:rsidRDefault="006A0673" w:rsidP="00C50A21">
      <w:pPr>
        <w:pStyle w:val="Szvegtrzs"/>
        <w:pBdr>
          <w:bottom w:val="single" w:sz="6" w:space="1" w:color="auto"/>
        </w:pBdr>
        <w:spacing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14:paraId="55723402" w14:textId="2A70B5D3" w:rsidR="006A0673" w:rsidRPr="00C50A21" w:rsidRDefault="00094CCA" w:rsidP="00C50A2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3D527897" wp14:editId="24AD1797">
            <wp:simplePos x="0" y="0"/>
            <wp:positionH relativeFrom="column">
              <wp:posOffset>-36195</wp:posOffset>
            </wp:positionH>
            <wp:positionV relativeFrom="paragraph">
              <wp:posOffset>187960</wp:posOffset>
            </wp:positionV>
            <wp:extent cx="1997710" cy="1287780"/>
            <wp:effectExtent l="0" t="0" r="2540" b="7620"/>
            <wp:wrapTight wrapText="bothSides">
              <wp:wrapPolygon edited="0">
                <wp:start x="0" y="0"/>
                <wp:lineTo x="0" y="21408"/>
                <wp:lineTo x="21421" y="21408"/>
                <wp:lineTo x="21421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0807F" w14:textId="78593CB1" w:rsidR="001A4AD7" w:rsidRPr="00A0614A" w:rsidRDefault="001A4AD7" w:rsidP="00A0614A">
      <w:pPr>
        <w:spacing w:after="120" w:line="276" w:lineRule="auto"/>
        <w:rPr>
          <w:rFonts w:ascii="Calibri" w:hAnsi="Calibri" w:cs="Calibri"/>
          <w:b/>
          <w:sz w:val="22"/>
          <w:szCs w:val="22"/>
        </w:rPr>
      </w:pPr>
      <w:r w:rsidRPr="00A0614A">
        <w:rPr>
          <w:rFonts w:ascii="Calibri" w:hAnsi="Calibri" w:cs="Calibri"/>
          <w:b/>
          <w:color w:val="212529"/>
          <w:sz w:val="22"/>
          <w:szCs w:val="22"/>
          <w:shd w:val="clear" w:color="auto" w:fill="FFFFFF"/>
        </w:rPr>
        <w:t>A korrupció elleni fellépésben a Belügyminisztérium elkötelezettsége töretlen.</w:t>
      </w:r>
      <w:r w:rsidR="00A0614A" w:rsidRPr="00A0614A">
        <w:rPr>
          <w:rFonts w:ascii="Calibri" w:hAnsi="Calibri" w:cs="Calibri"/>
          <w:b/>
          <w:color w:val="212529"/>
          <w:sz w:val="22"/>
          <w:szCs w:val="22"/>
          <w:shd w:val="clear" w:color="auto" w:fill="FFFFFF"/>
        </w:rPr>
        <w:t xml:space="preserve"> </w:t>
      </w:r>
      <w:r w:rsidRPr="00A0614A">
        <w:rPr>
          <w:rFonts w:ascii="Calibri" w:hAnsi="Calibri" w:cs="Calibri"/>
          <w:b/>
          <w:sz w:val="22"/>
          <w:szCs w:val="22"/>
        </w:rPr>
        <w:t>A küzdelem három pillére a korrupció-megelőzés, a hatékony bűnüldöző tevékenység és az e-közigazgatás fejlesztése.</w:t>
      </w:r>
    </w:p>
    <w:p w14:paraId="15AE5EFB" w14:textId="77777777" w:rsidR="001A4AD7" w:rsidRPr="001A4AD7" w:rsidRDefault="001A4AD7" w:rsidP="001A4AD7">
      <w:pPr>
        <w:spacing w:line="276" w:lineRule="auto"/>
        <w:rPr>
          <w:rFonts w:ascii="Calibri" w:hAnsi="Calibri" w:cs="Calibri"/>
          <w:sz w:val="22"/>
          <w:szCs w:val="22"/>
        </w:rPr>
      </w:pPr>
      <w:r w:rsidRPr="001A4AD7">
        <w:rPr>
          <w:rFonts w:ascii="Calibri" w:hAnsi="Calibri" w:cs="Calibri"/>
          <w:sz w:val="22"/>
          <w:szCs w:val="22"/>
        </w:rPr>
        <w:t xml:space="preserve">A </w:t>
      </w:r>
      <w:r w:rsidRPr="001A4AD7">
        <w:rPr>
          <w:rFonts w:ascii="Calibri" w:hAnsi="Calibri" w:cs="Calibri"/>
          <w:b/>
          <w:sz w:val="22"/>
          <w:szCs w:val="22"/>
        </w:rPr>
        <w:t>korrupciómegelőzés</w:t>
      </w:r>
      <w:r w:rsidRPr="001A4AD7">
        <w:rPr>
          <w:rFonts w:ascii="Calibri" w:hAnsi="Calibri" w:cs="Calibri"/>
          <w:sz w:val="22"/>
          <w:szCs w:val="22"/>
        </w:rPr>
        <w:t xml:space="preserve"> kereteit a Nemzeti Korrupcióellenes Stratégia jelöli ki, az abban meghatározott feladatok végrehajtását a tárca és a Nemzeti Védelmi Szolgálat 2021-ben is folytatta.</w:t>
      </w:r>
    </w:p>
    <w:p w14:paraId="5D7E8AAA" w14:textId="77777777" w:rsidR="001A4AD7" w:rsidRPr="001A4AD7" w:rsidRDefault="001A4AD7" w:rsidP="001A4AD7">
      <w:pPr>
        <w:spacing w:line="276" w:lineRule="auto"/>
        <w:rPr>
          <w:rFonts w:ascii="Calibri" w:hAnsi="Calibri" w:cs="Calibri"/>
          <w:sz w:val="22"/>
          <w:szCs w:val="22"/>
        </w:rPr>
      </w:pPr>
      <w:r w:rsidRPr="001A4AD7">
        <w:rPr>
          <w:rFonts w:ascii="Calibri" w:hAnsi="Calibri" w:cs="Calibri"/>
          <w:sz w:val="22"/>
          <w:szCs w:val="22"/>
        </w:rPr>
        <w:t xml:space="preserve">Amint az új koronavírus járvány engedte, </w:t>
      </w:r>
      <w:proofErr w:type="spellStart"/>
      <w:r w:rsidRPr="001A4AD7">
        <w:rPr>
          <w:rFonts w:ascii="Calibri" w:hAnsi="Calibri" w:cs="Calibri"/>
          <w:sz w:val="22"/>
          <w:szCs w:val="22"/>
        </w:rPr>
        <w:t>újraindultak</w:t>
      </w:r>
      <w:proofErr w:type="spellEnd"/>
      <w:r w:rsidRPr="001A4AD7">
        <w:rPr>
          <w:rFonts w:ascii="Calibri" w:hAnsi="Calibri" w:cs="Calibri"/>
          <w:sz w:val="22"/>
          <w:szCs w:val="22"/>
        </w:rPr>
        <w:t xml:space="preserve"> azok a műhelymunkák, konferenciák és tréningek, melyekkel a közigazgatás, a rendvédelem és az önkormányzatok szakembereit, illetve az üzleti élet szereplőit segítjük a korrupciós kockázatok kezelésében, szervezeteik integritásának erősítésében, és az integritást sértő cselekmények azonosításában. Folytatódott az ügyészekkel közös képzéssorozat, immár a </w:t>
      </w:r>
      <w:proofErr w:type="spellStart"/>
      <w:r w:rsidRPr="001A4AD7">
        <w:rPr>
          <w:rFonts w:ascii="Calibri" w:hAnsi="Calibri" w:cs="Calibri"/>
          <w:sz w:val="22"/>
          <w:szCs w:val="22"/>
        </w:rPr>
        <w:t>bírákkal</w:t>
      </w:r>
      <w:proofErr w:type="spellEnd"/>
      <w:r w:rsidRPr="001A4AD7">
        <w:rPr>
          <w:rFonts w:ascii="Calibri" w:hAnsi="Calibri" w:cs="Calibri"/>
          <w:sz w:val="22"/>
          <w:szCs w:val="22"/>
        </w:rPr>
        <w:t xml:space="preserve"> is kiegészülve.</w:t>
      </w:r>
    </w:p>
    <w:p w14:paraId="5A9A8089" w14:textId="77777777" w:rsidR="001A4AD7" w:rsidRPr="001A4AD7" w:rsidRDefault="001A4AD7" w:rsidP="001A4AD7">
      <w:pPr>
        <w:spacing w:line="276" w:lineRule="auto"/>
        <w:rPr>
          <w:rFonts w:ascii="Calibri" w:hAnsi="Calibri" w:cs="Calibri"/>
          <w:sz w:val="22"/>
          <w:szCs w:val="22"/>
        </w:rPr>
      </w:pPr>
      <w:r w:rsidRPr="001A4AD7">
        <w:rPr>
          <w:rFonts w:ascii="Calibri" w:hAnsi="Calibri" w:cs="Calibri"/>
          <w:sz w:val="22"/>
          <w:szCs w:val="22"/>
        </w:rPr>
        <w:t>A Nemzeti Közszolgálati Egyetem munkatársai közreműködésével történik a korrupciós és integritási kockázatokkal fokozottan érintett álláshelyek és munkakörök feltérképezése, valamint – a korrupció szempontjából pozitív és negatív példák bemutatása érdekében – a szakmai életutakat bemutató interjúk felvétele a kiválasztott állománytagoktól.</w:t>
      </w:r>
    </w:p>
    <w:p w14:paraId="7441ED5F" w14:textId="77777777" w:rsidR="001A4AD7" w:rsidRPr="001A4AD7" w:rsidRDefault="001A4AD7" w:rsidP="001A4AD7">
      <w:pPr>
        <w:spacing w:line="276" w:lineRule="auto"/>
        <w:rPr>
          <w:rFonts w:ascii="Calibri" w:hAnsi="Calibri" w:cs="Calibri"/>
          <w:sz w:val="22"/>
          <w:szCs w:val="22"/>
        </w:rPr>
      </w:pPr>
      <w:r w:rsidRPr="001A4AD7">
        <w:rPr>
          <w:rFonts w:ascii="Calibri" w:hAnsi="Calibri" w:cs="Calibri"/>
          <w:sz w:val="22"/>
          <w:szCs w:val="22"/>
        </w:rPr>
        <w:t xml:space="preserve">Az állami szervek integritását sértő – és azon belül is kiemelten a korrupciós és hivatali – </w:t>
      </w:r>
      <w:r w:rsidRPr="001A4AD7">
        <w:rPr>
          <w:rFonts w:ascii="Calibri" w:hAnsi="Calibri" w:cs="Calibri"/>
          <w:b/>
          <w:sz w:val="22"/>
          <w:szCs w:val="22"/>
        </w:rPr>
        <w:t>bűncselekmények üldözésében</w:t>
      </w:r>
      <w:r w:rsidRPr="001A4AD7">
        <w:rPr>
          <w:rFonts w:ascii="Calibri" w:hAnsi="Calibri" w:cs="Calibri"/>
          <w:sz w:val="22"/>
          <w:szCs w:val="22"/>
        </w:rPr>
        <w:t xml:space="preserve"> a Nemzeti Védelmi Szolgálat szerepe megalakulása óta meghatározó. A cél változatlan: átláthatóan, elszámoltathatóan működő közigazgatás, ahol a magas belső morállal rendelkező munkatársak ellenállnak a korrupciós törekvéseknek.</w:t>
      </w:r>
    </w:p>
    <w:p w14:paraId="203C3B0B" w14:textId="77777777" w:rsidR="001A4AD7" w:rsidRPr="001A4AD7" w:rsidRDefault="001A4AD7" w:rsidP="001A4AD7">
      <w:pPr>
        <w:spacing w:line="276" w:lineRule="auto"/>
        <w:rPr>
          <w:rFonts w:ascii="Calibri" w:hAnsi="Calibri" w:cs="Calibri"/>
          <w:sz w:val="22"/>
          <w:szCs w:val="22"/>
        </w:rPr>
      </w:pPr>
      <w:r w:rsidRPr="001A4AD7">
        <w:rPr>
          <w:rFonts w:ascii="Calibri" w:hAnsi="Calibri" w:cs="Calibri"/>
          <w:sz w:val="22"/>
          <w:szCs w:val="22"/>
        </w:rPr>
        <w:t>Jelentős kihívás a hálapénz több évtizede fennálló, az egészségügyi ellátás esélyegyenlőségét aláásó gyakorlatának felszámolása. Ennek érdekében a jogalkotó 2021. január 1-jétől kriminalizálta a jogtalan előny egészségügyi ellátás során történő adását és elfogadását, az NVSZ bűnfelderítő, bűnmegelőző hatáskörét kiterjesztette az egészségügyi szolgálati jogviszonyban állókra, valamint az irányításukat, felügyeletüket ellátó közintézmények dolgozóira.</w:t>
      </w:r>
    </w:p>
    <w:p w14:paraId="41B1CD44" w14:textId="77777777" w:rsidR="001A4AD7" w:rsidRPr="001A4AD7" w:rsidRDefault="001A4AD7" w:rsidP="001A4AD7">
      <w:pPr>
        <w:spacing w:line="276" w:lineRule="auto"/>
        <w:rPr>
          <w:rFonts w:ascii="Calibri" w:hAnsi="Calibri" w:cs="Calibri"/>
          <w:sz w:val="22"/>
          <w:szCs w:val="22"/>
        </w:rPr>
      </w:pPr>
      <w:r w:rsidRPr="001A4AD7">
        <w:rPr>
          <w:rFonts w:ascii="Calibri" w:hAnsi="Calibri" w:cs="Calibri"/>
          <w:sz w:val="22"/>
          <w:szCs w:val="22"/>
        </w:rPr>
        <w:t xml:space="preserve">A hatáskörbővülést követően a Nemzeti Védelmi Szolgálat tevékenysége lefedi a közszféra, azon belül a rendvédelem, a közigazgatás, valamint az állami egészségügy szinte valamennyi szervezetét, munkavállalóját, a védett szervek munkatársainak létszáma meghaladja a 460 ezer főt. </w:t>
      </w:r>
    </w:p>
    <w:p w14:paraId="5D1C935A" w14:textId="77777777" w:rsidR="001A4AD7" w:rsidRPr="001A4AD7" w:rsidRDefault="001A4AD7" w:rsidP="001A4AD7">
      <w:pPr>
        <w:tabs>
          <w:tab w:val="left" w:pos="2835"/>
        </w:tabs>
        <w:spacing w:line="276" w:lineRule="auto"/>
        <w:rPr>
          <w:rFonts w:ascii="Calibri" w:hAnsi="Calibri" w:cs="Calibri"/>
          <w:sz w:val="22"/>
          <w:szCs w:val="22"/>
        </w:rPr>
      </w:pPr>
      <w:r w:rsidRPr="001A4AD7">
        <w:rPr>
          <w:rFonts w:ascii="Calibri" w:hAnsi="Calibri" w:cs="Calibri"/>
          <w:sz w:val="22"/>
          <w:szCs w:val="22"/>
        </w:rPr>
        <w:t xml:space="preserve">Az elmúlt időszakban különösen nagy hangsúlyt helyeztünk az </w:t>
      </w:r>
      <w:r w:rsidRPr="001A4AD7">
        <w:rPr>
          <w:rFonts w:ascii="Calibri" w:hAnsi="Calibri" w:cs="Calibri"/>
          <w:b/>
          <w:sz w:val="22"/>
          <w:szCs w:val="22"/>
        </w:rPr>
        <w:t>e-közigazgatás fejlesztésére</w:t>
      </w:r>
      <w:r w:rsidRPr="001A4AD7">
        <w:rPr>
          <w:rFonts w:ascii="Calibri" w:hAnsi="Calibri" w:cs="Calibri"/>
          <w:sz w:val="22"/>
          <w:szCs w:val="22"/>
        </w:rPr>
        <w:t>.</w:t>
      </w:r>
    </w:p>
    <w:p w14:paraId="2C4DC1E2" w14:textId="77777777" w:rsidR="001A4AD7" w:rsidRPr="001A4AD7" w:rsidRDefault="001A4AD7" w:rsidP="001A4AD7">
      <w:pPr>
        <w:tabs>
          <w:tab w:val="left" w:pos="2835"/>
        </w:tabs>
        <w:spacing w:line="276" w:lineRule="auto"/>
        <w:rPr>
          <w:rFonts w:ascii="Calibri" w:hAnsi="Calibri" w:cs="Calibri"/>
          <w:sz w:val="22"/>
          <w:szCs w:val="22"/>
        </w:rPr>
      </w:pPr>
      <w:r w:rsidRPr="001A4AD7">
        <w:rPr>
          <w:rFonts w:ascii="Calibri" w:hAnsi="Calibri" w:cs="Calibri"/>
          <w:sz w:val="22"/>
          <w:szCs w:val="22"/>
        </w:rPr>
        <w:t>A projektek célja, hogy egy-egy ügy indítása és lezárása közötti ügyintézési lépések emberi beavatkozás nélkül történjenek meg. A mesterséges intelligenciával támogatott informatikai eszközök és folyamatok fejlesztése támogatja az átlátható és a közélet tisztaságát garantáló automatizált eljárásokat, valamint lehetővé teszi a rugalmas humánerőforrás-gazdálkodást. Az ügyintéző-ügyfél kapcsolatok számának csökkentése és az automatizált döntéshozatal széleskörű bevezetése hatékonyan képes visszaszorítani a közigazgatás működésének korrupciós kockázatait.</w:t>
      </w:r>
    </w:p>
    <w:p w14:paraId="3E13BAF1" w14:textId="77777777" w:rsidR="001A4AD7" w:rsidRPr="001A4AD7" w:rsidRDefault="001A4AD7" w:rsidP="001A4AD7">
      <w:pPr>
        <w:tabs>
          <w:tab w:val="left" w:pos="2835"/>
        </w:tabs>
        <w:spacing w:line="276" w:lineRule="auto"/>
        <w:rPr>
          <w:rFonts w:ascii="Calibri" w:hAnsi="Calibri" w:cs="Calibri"/>
          <w:sz w:val="22"/>
          <w:szCs w:val="22"/>
        </w:rPr>
      </w:pPr>
      <w:r w:rsidRPr="001A4AD7">
        <w:rPr>
          <w:rFonts w:ascii="Calibri" w:hAnsi="Calibri" w:cs="Calibri"/>
          <w:sz w:val="22"/>
          <w:szCs w:val="22"/>
        </w:rPr>
        <w:t xml:space="preserve">A fejlesztés jelentős </w:t>
      </w:r>
      <w:proofErr w:type="spellStart"/>
      <w:r w:rsidRPr="001A4AD7">
        <w:rPr>
          <w:rFonts w:ascii="Calibri" w:hAnsi="Calibri" w:cs="Calibri"/>
          <w:sz w:val="22"/>
          <w:szCs w:val="22"/>
        </w:rPr>
        <w:t>mérföldköveit</w:t>
      </w:r>
      <w:proofErr w:type="spellEnd"/>
      <w:r w:rsidRPr="001A4AD7">
        <w:rPr>
          <w:rFonts w:ascii="Calibri" w:hAnsi="Calibri" w:cs="Calibri"/>
          <w:sz w:val="22"/>
          <w:szCs w:val="22"/>
        </w:rPr>
        <w:t xml:space="preserve"> jelentették az elektronikus ügyintézés keret-szabályrendszerének megalkotása, az E-önkormányzat portál, az Elektronikus Egészségügyi Szolgáltatási Tér, az e-Személyi igazolvány, az </w:t>
      </w:r>
      <w:proofErr w:type="spellStart"/>
      <w:r w:rsidRPr="001A4AD7">
        <w:rPr>
          <w:rFonts w:ascii="Calibri" w:hAnsi="Calibri" w:cs="Calibri"/>
          <w:sz w:val="22"/>
          <w:szCs w:val="22"/>
        </w:rPr>
        <w:t>OkmányApp</w:t>
      </w:r>
      <w:proofErr w:type="spellEnd"/>
      <w:r w:rsidRPr="001A4AD7">
        <w:rPr>
          <w:rFonts w:ascii="Calibri" w:hAnsi="Calibri" w:cs="Calibri"/>
          <w:sz w:val="22"/>
          <w:szCs w:val="22"/>
        </w:rPr>
        <w:t>, valamint a különböző gépjármű nyilvántartási adatok lekérését lehetővé tévő rendszerek bevezetése, illetve a személyre szabott ügyintézési felület (magyarorszag.hu) megújítása, amely a hazai e-közigazgatási szolgáltatások gyűjtőoldala.</w:t>
      </w:r>
    </w:p>
    <w:p w14:paraId="15F7801A" w14:textId="77777777" w:rsidR="001A4AD7" w:rsidRPr="001A4AD7" w:rsidRDefault="001A4AD7" w:rsidP="001A4AD7">
      <w:pPr>
        <w:spacing w:line="276" w:lineRule="auto"/>
        <w:rPr>
          <w:rFonts w:ascii="Calibri" w:hAnsi="Calibri" w:cs="Calibri"/>
          <w:sz w:val="22"/>
          <w:szCs w:val="22"/>
        </w:rPr>
      </w:pPr>
      <w:r w:rsidRPr="001A4AD7">
        <w:rPr>
          <w:rFonts w:ascii="Calibri" w:hAnsi="Calibri" w:cs="Calibri"/>
          <w:sz w:val="22"/>
          <w:szCs w:val="22"/>
        </w:rPr>
        <w:t>A közélet tisztaságáért tett első közös szándéknyilatkozat óta eltelt tíz évben a Belügyminisztérium elkötelezettsége töretlen a korrupció elleni küzdelemben. A tárca szerepe e területen még hangsúlyosabbá vált, a kialakított hatékony jogszabályi környezet és eszközrendszer jelentősen hozzájárult az eredményes hatósági fellépéshez.</w:t>
      </w:r>
    </w:p>
    <w:p w14:paraId="264A444F" w14:textId="77777777" w:rsidR="006A0673" w:rsidRPr="00C50A21" w:rsidRDefault="006A0673" w:rsidP="00C50A21">
      <w:pPr>
        <w:spacing w:after="60" w:line="276" w:lineRule="auto"/>
        <w:rPr>
          <w:rFonts w:asciiTheme="minorHAnsi" w:hAnsiTheme="minorHAnsi" w:cstheme="minorHAnsi"/>
          <w:sz w:val="22"/>
          <w:szCs w:val="22"/>
        </w:rPr>
      </w:pPr>
    </w:p>
    <w:p w14:paraId="17AAF836" w14:textId="121B0B80" w:rsidR="002507C9" w:rsidRPr="00C50A21" w:rsidRDefault="002507C9" w:rsidP="002507C9">
      <w:pPr>
        <w:pStyle w:val="Listaszerbekezds"/>
        <w:spacing w:after="120" w:line="276" w:lineRule="auto"/>
        <w:ind w:left="0"/>
        <w:contextualSpacing w:val="0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C50A21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 wp14:anchorId="0DEA0926" wp14:editId="543F54A8">
            <wp:simplePos x="0" y="0"/>
            <wp:positionH relativeFrom="margin">
              <wp:posOffset>66675</wp:posOffset>
            </wp:positionH>
            <wp:positionV relativeFrom="paragraph">
              <wp:posOffset>231775</wp:posOffset>
            </wp:positionV>
            <wp:extent cx="1477645" cy="1060450"/>
            <wp:effectExtent l="0" t="0" r="8255" b="635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2" t="10651" r="72325" b="75908"/>
                    <a:stretch/>
                  </pic:blipFill>
                  <pic:spPr bwMode="auto">
                    <a:xfrm>
                      <a:off x="0" y="0"/>
                      <a:ext cx="1477645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00E4E5" w14:textId="250680BD" w:rsidR="002507C9" w:rsidRDefault="002507C9" w:rsidP="002507C9">
      <w:pPr>
        <w:spacing w:after="160" w:line="276" w:lineRule="auto"/>
        <w:ind w:left="2832"/>
        <w:rPr>
          <w:rFonts w:asciiTheme="minorHAnsi" w:hAnsiTheme="minorHAnsi" w:cstheme="minorHAnsi"/>
          <w:b/>
          <w:sz w:val="22"/>
          <w:szCs w:val="22"/>
          <w:lang w:eastAsia="en-US"/>
        </w:rPr>
      </w:pPr>
      <w:r w:rsidRPr="00564871">
        <w:rPr>
          <w:rFonts w:asciiTheme="minorHAnsi" w:hAnsiTheme="minorHAnsi" w:cstheme="minorHAnsi"/>
          <w:b/>
          <w:sz w:val="22"/>
          <w:szCs w:val="22"/>
          <w:lang w:eastAsia="en-US"/>
        </w:rPr>
        <w:t>Magasabb szintre lépett Magyarországon a korrupció elleni fellépés az elmúlt 10 évben: az ÁSZ előbb az évenként elvégzett Integritás-felméréssel elterjesztette az integritás szemléletét a magyar közszférában, ezután a módszert ellenőrzéssé fejlesztette,</w:t>
      </w:r>
      <w:r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 </w:t>
      </w:r>
      <w:r w:rsidRPr="00BC24C7">
        <w:rPr>
          <w:rFonts w:asciiTheme="minorHAnsi" w:hAnsiTheme="minorHAnsi" w:cstheme="minorHAnsi"/>
          <w:b/>
          <w:sz w:val="22"/>
          <w:szCs w:val="22"/>
          <w:lang w:eastAsia="en-US"/>
        </w:rPr>
        <w:t>2021-re pedig széleskörű tanácsadással és tudásmegosztással tovább erősítette a közpénzt felha</w:t>
      </w:r>
      <w:r>
        <w:rPr>
          <w:rFonts w:asciiTheme="minorHAnsi" w:hAnsiTheme="minorHAnsi" w:cstheme="minorHAnsi"/>
          <w:b/>
          <w:sz w:val="22"/>
          <w:szCs w:val="22"/>
          <w:lang w:eastAsia="en-US"/>
        </w:rPr>
        <w:t>sz</w:t>
      </w:r>
      <w:r w:rsidRPr="00BC24C7">
        <w:rPr>
          <w:rFonts w:asciiTheme="minorHAnsi" w:hAnsiTheme="minorHAnsi" w:cstheme="minorHAnsi"/>
          <w:b/>
          <w:sz w:val="22"/>
          <w:szCs w:val="22"/>
          <w:lang w:eastAsia="en-US"/>
        </w:rPr>
        <w:t>náló szervezetek helyzetét, ezzel is növelve</w:t>
      </w:r>
      <w:r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 </w:t>
      </w:r>
      <w:r w:rsidRPr="00BC24C7">
        <w:rPr>
          <w:rFonts w:asciiTheme="minorHAnsi" w:hAnsiTheme="minorHAnsi" w:cstheme="minorHAnsi"/>
          <w:b/>
          <w:sz w:val="22"/>
          <w:szCs w:val="22"/>
          <w:lang w:eastAsia="en-US"/>
        </w:rPr>
        <w:t>az ellenálló képességüket.</w:t>
      </w:r>
    </w:p>
    <w:p w14:paraId="5E59DE49" w14:textId="4A12DAA4" w:rsidR="002507C9" w:rsidRDefault="002507C9" w:rsidP="002507C9">
      <w:pPr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23FA382C" wp14:editId="5149B31F">
            <wp:simplePos x="0" y="0"/>
            <wp:positionH relativeFrom="margin">
              <wp:posOffset>2651125</wp:posOffset>
            </wp:positionH>
            <wp:positionV relativeFrom="paragraph">
              <wp:posOffset>3175</wp:posOffset>
            </wp:positionV>
            <wp:extent cx="3613785" cy="5364480"/>
            <wp:effectExtent l="0" t="0" r="5715" b="7620"/>
            <wp:wrapTight wrapText="bothSides">
              <wp:wrapPolygon edited="0">
                <wp:start x="0" y="0"/>
                <wp:lineTo x="0" y="21554"/>
                <wp:lineTo x="21520" y="21554"/>
                <wp:lineTo x="21520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py-integrita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16" r="1459"/>
                    <a:stretch/>
                  </pic:blipFill>
                  <pic:spPr bwMode="auto">
                    <a:xfrm>
                      <a:off x="0" y="0"/>
                      <a:ext cx="3613785" cy="536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48C4">
        <w:rPr>
          <w:rFonts w:asciiTheme="minorHAnsi" w:hAnsiTheme="minorHAnsi" w:cstheme="minorHAnsi"/>
          <w:sz w:val="22"/>
          <w:szCs w:val="22"/>
          <w:lang w:eastAsia="en-US"/>
        </w:rPr>
        <w:t>Az ÁSZ az elmúlt 10 évben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megteremtette és megszilárdította </w:t>
      </w:r>
      <w:r w:rsidRPr="00A648C4">
        <w:rPr>
          <w:rFonts w:asciiTheme="minorHAnsi" w:hAnsiTheme="minorHAnsi" w:cstheme="minorHAnsi"/>
          <w:sz w:val="22"/>
          <w:szCs w:val="22"/>
          <w:lang w:eastAsia="en-US"/>
        </w:rPr>
        <w:t>az integritás kultúr</w:t>
      </w:r>
      <w:r>
        <w:rPr>
          <w:rFonts w:asciiTheme="minorHAnsi" w:hAnsiTheme="minorHAnsi" w:cstheme="minorHAnsi"/>
          <w:sz w:val="22"/>
          <w:szCs w:val="22"/>
          <w:lang w:eastAsia="en-US"/>
        </w:rPr>
        <w:t>át a</w:t>
      </w:r>
      <w:r w:rsidRPr="00A648C4">
        <w:rPr>
          <w:rFonts w:asciiTheme="minorHAnsi" w:hAnsiTheme="minorHAnsi" w:cstheme="minorHAnsi"/>
          <w:sz w:val="22"/>
          <w:szCs w:val="22"/>
          <w:lang w:eastAsia="en-US"/>
        </w:rPr>
        <w:t xml:space="preserve"> közszféra intézményei</w:t>
      </w:r>
      <w:r>
        <w:rPr>
          <w:rFonts w:asciiTheme="minorHAnsi" w:hAnsiTheme="minorHAnsi" w:cstheme="minorHAnsi"/>
          <w:sz w:val="22"/>
          <w:szCs w:val="22"/>
          <w:lang w:eastAsia="en-US"/>
        </w:rPr>
        <w:t>ben</w:t>
      </w:r>
      <w:r w:rsidRPr="00A648C4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</w:p>
    <w:p w14:paraId="38B18018" w14:textId="51A345BC" w:rsidR="002507C9" w:rsidRDefault="002507C9" w:rsidP="002507C9">
      <w:pPr>
        <w:rPr>
          <w:rFonts w:asciiTheme="minorHAnsi" w:hAnsiTheme="minorHAnsi" w:cstheme="minorHAnsi"/>
          <w:sz w:val="22"/>
          <w:szCs w:val="22"/>
          <w:lang w:eastAsia="en-US"/>
        </w:rPr>
      </w:pPr>
    </w:p>
    <w:p w14:paraId="0C8BEFF0" w14:textId="3F75FC9C" w:rsidR="002507C9" w:rsidRDefault="002507C9" w:rsidP="002507C9">
      <w:pPr>
        <w:rPr>
          <w:rFonts w:asciiTheme="minorHAnsi" w:hAnsiTheme="minorHAnsi" w:cstheme="minorHAnsi"/>
          <w:sz w:val="22"/>
          <w:szCs w:val="22"/>
          <w:lang w:eastAsia="en-US"/>
        </w:rPr>
      </w:pPr>
      <w:r w:rsidRPr="00A648C4">
        <w:rPr>
          <w:rFonts w:asciiTheme="minorHAnsi" w:hAnsiTheme="minorHAnsi" w:cstheme="minorHAnsi"/>
          <w:sz w:val="22"/>
          <w:szCs w:val="22"/>
          <w:lang w:eastAsia="en-US"/>
        </w:rPr>
        <w:t xml:space="preserve">Az ÁSZ 2011. és 2019. között az Országgyűlés döntésével összhangban minden évben elvégezte a hazai intézmények integritás kultúrájának meghonosítását és elterjesztését szolgáló, holland tapasztalatok alapján kidolgozott Integritás felmérést. A felmérésben való részvétel során a közintézmények egy kérdőív segítségével </w:t>
      </w:r>
      <w:proofErr w:type="spellStart"/>
      <w:r w:rsidRPr="00A648C4">
        <w:rPr>
          <w:rFonts w:asciiTheme="minorHAnsi" w:hAnsiTheme="minorHAnsi" w:cstheme="minorHAnsi"/>
          <w:sz w:val="22"/>
          <w:szCs w:val="22"/>
          <w:lang w:eastAsia="en-US"/>
        </w:rPr>
        <w:t>szembesültek</w:t>
      </w:r>
      <w:proofErr w:type="spellEnd"/>
      <w:r w:rsidRPr="00A648C4">
        <w:rPr>
          <w:rFonts w:asciiTheme="minorHAnsi" w:hAnsiTheme="minorHAnsi" w:cstheme="minorHAnsi"/>
          <w:sz w:val="22"/>
          <w:szCs w:val="22"/>
          <w:lang w:eastAsia="en-US"/>
        </w:rPr>
        <w:t xml:space="preserve"> az őket fenyegető korrupciós veszélyekkel, valamint integritási kontrolljaik kiépítettségének hiányosságaival.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A </w:t>
      </w:r>
      <w:r w:rsidRPr="008C593B">
        <w:rPr>
          <w:rFonts w:asciiTheme="minorHAnsi" w:hAnsiTheme="minorHAnsi" w:cstheme="minorHAnsi"/>
          <w:sz w:val="22"/>
          <w:szCs w:val="22"/>
          <w:lang w:eastAsia="en-US"/>
        </w:rPr>
        <w:t>2020</w:t>
      </w:r>
      <w:r>
        <w:rPr>
          <w:rFonts w:asciiTheme="minorHAnsi" w:hAnsiTheme="minorHAnsi" w:cstheme="minorHAnsi"/>
          <w:sz w:val="22"/>
          <w:szCs w:val="22"/>
          <w:lang w:eastAsia="en-US"/>
        </w:rPr>
        <w:t>-</w:t>
      </w:r>
      <w:r w:rsidRPr="008C593B">
        <w:rPr>
          <w:rFonts w:asciiTheme="minorHAnsi" w:hAnsiTheme="minorHAnsi" w:cstheme="minorHAnsi"/>
          <w:sz w:val="22"/>
          <w:szCs w:val="22"/>
          <w:lang w:eastAsia="en-US"/>
        </w:rPr>
        <w:t>b</w:t>
      </w:r>
      <w:r>
        <w:rPr>
          <w:rFonts w:asciiTheme="minorHAnsi" w:hAnsiTheme="minorHAnsi" w:cstheme="minorHAnsi"/>
          <w:sz w:val="22"/>
          <w:szCs w:val="22"/>
          <w:lang w:eastAsia="en-US"/>
        </w:rPr>
        <w:t>a</w:t>
      </w:r>
      <w:r w:rsidRPr="008C593B">
        <w:rPr>
          <w:rFonts w:asciiTheme="minorHAnsi" w:hAnsiTheme="minorHAnsi" w:cstheme="minorHAnsi"/>
          <w:sz w:val="22"/>
          <w:szCs w:val="22"/>
          <w:lang w:eastAsia="en-US"/>
        </w:rPr>
        <w:t>n megvalósított integritással kapcsolatos kérdőíves kutatáshoz 4002 közpénzből működő, nemzeti vagyont kezelő szervezet csatlakozott. Az elmúlt kilenc év tapasztalatai alapján,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8C593B">
        <w:rPr>
          <w:rFonts w:asciiTheme="minorHAnsi" w:hAnsiTheme="minorHAnsi" w:cstheme="minorHAnsi"/>
          <w:sz w:val="22"/>
          <w:szCs w:val="22"/>
          <w:lang w:eastAsia="en-US"/>
        </w:rPr>
        <w:t>az Integritás felmérésnek</w:t>
      </w:r>
      <w:r>
        <w:rPr>
          <w:rFonts w:asciiTheme="minorHAnsi" w:hAnsiTheme="minorHAnsi" w:cstheme="minorHAnsi"/>
          <w:sz w:val="22"/>
          <w:szCs w:val="22"/>
          <w:lang w:eastAsia="en-US"/>
        </w:rPr>
        <w:t>, önteszteknek és képzéseknek</w:t>
      </w:r>
      <w:r w:rsidRPr="008C593B">
        <w:rPr>
          <w:rFonts w:asciiTheme="minorHAnsi" w:hAnsiTheme="minorHAnsi" w:cstheme="minorHAnsi"/>
          <w:sz w:val="22"/>
          <w:szCs w:val="22"/>
          <w:lang w:eastAsia="en-US"/>
        </w:rPr>
        <w:t xml:space="preserve"> köszönhetően széleskörűen ellenőrizhetővé váltak a korrupciós veszélyek ellen védettséget biztosító integritáskontrollok a magyar közszférában. </w:t>
      </w:r>
    </w:p>
    <w:p w14:paraId="6F808E25" w14:textId="77777777" w:rsidR="002507C9" w:rsidRDefault="002507C9" w:rsidP="002507C9">
      <w:pPr>
        <w:rPr>
          <w:rFonts w:asciiTheme="minorHAnsi" w:hAnsiTheme="minorHAnsi" w:cstheme="minorHAnsi"/>
          <w:sz w:val="22"/>
          <w:szCs w:val="22"/>
          <w:lang w:eastAsia="en-US"/>
        </w:rPr>
      </w:pPr>
    </w:p>
    <w:p w14:paraId="31DA17FB" w14:textId="77777777" w:rsidR="002507C9" w:rsidRDefault="002507C9" w:rsidP="002507C9">
      <w:pPr>
        <w:rPr>
          <w:rFonts w:asciiTheme="minorHAnsi" w:hAnsiTheme="minorHAnsi" w:cstheme="minorHAnsi"/>
          <w:sz w:val="22"/>
          <w:szCs w:val="22"/>
          <w:lang w:eastAsia="en-US"/>
        </w:rPr>
      </w:pPr>
      <w:r w:rsidRPr="001B7DF4">
        <w:rPr>
          <w:rFonts w:asciiTheme="minorHAnsi" w:hAnsiTheme="minorHAnsi" w:cstheme="minorHAnsi"/>
          <w:sz w:val="22"/>
          <w:szCs w:val="22"/>
          <w:lang w:eastAsia="en-US"/>
        </w:rPr>
        <w:t>Magyarország Kormánya 2020 júniusában a 2020-2022 közötti időszakra vonatkozóan középtávú Nemzeti Korrupcióellenes Stratégia elfogadásáról döntött</w:t>
      </w:r>
      <w:r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Pr="001B7DF4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eastAsia="en-US"/>
        </w:rPr>
        <w:t>amelynek</w:t>
      </w:r>
      <w:r w:rsidRPr="001B7DF4">
        <w:rPr>
          <w:rFonts w:asciiTheme="minorHAnsi" w:hAnsiTheme="minorHAnsi" w:cstheme="minorHAnsi"/>
          <w:sz w:val="22"/>
          <w:szCs w:val="22"/>
          <w:lang w:eastAsia="en-US"/>
        </w:rPr>
        <w:t xml:space="preserve"> több pontja is a számvevőszék elmúlt 10 évben felhalmozott </w:t>
      </w:r>
      <w:proofErr w:type="spellStart"/>
      <w:r w:rsidRPr="001B7DF4">
        <w:rPr>
          <w:rFonts w:asciiTheme="minorHAnsi" w:hAnsiTheme="minorHAnsi" w:cstheme="minorHAnsi"/>
          <w:sz w:val="22"/>
          <w:szCs w:val="22"/>
          <w:lang w:eastAsia="en-US"/>
        </w:rPr>
        <w:t>tudásanyagán</w:t>
      </w:r>
      <w:proofErr w:type="spellEnd"/>
      <w:r w:rsidRPr="001B7DF4">
        <w:rPr>
          <w:rFonts w:asciiTheme="minorHAnsi" w:hAnsiTheme="minorHAnsi" w:cstheme="minorHAnsi"/>
          <w:sz w:val="22"/>
          <w:szCs w:val="22"/>
          <w:lang w:eastAsia="en-US"/>
        </w:rPr>
        <w:t xml:space="preserve"> alapszik.</w:t>
      </w:r>
    </w:p>
    <w:p w14:paraId="16D6B973" w14:textId="33DDA078" w:rsidR="002507C9" w:rsidRDefault="002507C9" w:rsidP="002507C9">
      <w:pPr>
        <w:spacing w:after="6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46952C45" w14:textId="1B4C5C0C" w:rsidR="002507C9" w:rsidRDefault="002507C9" w:rsidP="002507C9">
      <w:pPr>
        <w:spacing w:after="6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Az elmúlt tíz évben az ÁSZ értékelte a költségvetési intézmények, </w:t>
      </w:r>
      <w:r w:rsidRPr="00A648C4">
        <w:rPr>
          <w:rFonts w:asciiTheme="minorHAnsi" w:hAnsiTheme="minorHAnsi" w:cstheme="minorHAnsi"/>
          <w:sz w:val="22"/>
          <w:szCs w:val="22"/>
          <w:lang w:eastAsia="en-US"/>
        </w:rPr>
        <w:t>a</w:t>
      </w:r>
      <w:r>
        <w:rPr>
          <w:rFonts w:asciiTheme="minorHAnsi" w:hAnsiTheme="minorHAnsi" w:cstheme="minorHAnsi"/>
          <w:sz w:val="22"/>
          <w:szCs w:val="22"/>
          <w:lang w:eastAsia="en-US"/>
        </w:rPr>
        <w:t>z állami és</w:t>
      </w:r>
      <w:r w:rsidRPr="00A648C4">
        <w:rPr>
          <w:rFonts w:asciiTheme="minorHAnsi" w:hAnsiTheme="minorHAnsi" w:cstheme="minorHAnsi"/>
          <w:sz w:val="22"/>
          <w:szCs w:val="22"/>
          <w:lang w:eastAsia="en-US"/>
        </w:rPr>
        <w:t xml:space="preserve"> nemzeti tulajdonú gazdasági társaságok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és köztestületek, valamint </w:t>
      </w:r>
      <w:r w:rsidRPr="00564871">
        <w:rPr>
          <w:rFonts w:asciiTheme="minorHAnsi" w:hAnsiTheme="minorHAnsi" w:cstheme="minorHAnsi"/>
          <w:sz w:val="22"/>
          <w:szCs w:val="22"/>
          <w:lang w:eastAsia="en-US"/>
        </w:rPr>
        <w:t>az összes magyarországi önkormányzat és hivatalaik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564871">
        <w:rPr>
          <w:rFonts w:asciiTheme="minorHAnsi" w:hAnsiTheme="minorHAnsi" w:cstheme="minorHAnsi"/>
          <w:sz w:val="22"/>
          <w:szCs w:val="22"/>
          <w:lang w:eastAsia="en-US"/>
        </w:rPr>
        <w:t>integritását</w:t>
      </w:r>
      <w:r>
        <w:rPr>
          <w:rFonts w:asciiTheme="minorHAnsi" w:hAnsiTheme="minorHAnsi" w:cstheme="minorHAnsi"/>
          <w:sz w:val="22"/>
          <w:szCs w:val="22"/>
          <w:lang w:eastAsia="en-US"/>
        </w:rPr>
        <w:t>, amellyel</w:t>
      </w:r>
      <w:r w:rsidRPr="00564871">
        <w:rPr>
          <w:rFonts w:asciiTheme="minorHAnsi" w:hAnsiTheme="minorHAnsi" w:cstheme="minorHAnsi"/>
          <w:sz w:val="22"/>
          <w:szCs w:val="22"/>
          <w:lang w:eastAsia="en-US"/>
        </w:rPr>
        <w:t xml:space="preserve"> hozzájárult </w:t>
      </w:r>
      <w:r>
        <w:rPr>
          <w:rFonts w:asciiTheme="minorHAnsi" w:hAnsiTheme="minorHAnsi" w:cstheme="minorHAnsi"/>
          <w:sz w:val="22"/>
          <w:szCs w:val="22"/>
          <w:lang w:eastAsia="en-US"/>
        </w:rPr>
        <w:t>a</w:t>
      </w:r>
      <w:r w:rsidRPr="00564871">
        <w:rPr>
          <w:rFonts w:asciiTheme="minorHAnsi" w:hAnsiTheme="minorHAnsi" w:cstheme="minorHAnsi"/>
          <w:sz w:val="22"/>
          <w:szCs w:val="22"/>
          <w:lang w:eastAsia="en-US"/>
        </w:rPr>
        <w:t xml:space="preserve"> korrupciós kockázatok elleni eredményes védekezéshez.</w:t>
      </w:r>
    </w:p>
    <w:p w14:paraId="63D03572" w14:textId="01B6BE1B" w:rsidR="002507C9" w:rsidRDefault="002507C9" w:rsidP="002507C9">
      <w:pPr>
        <w:spacing w:after="6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459F4336" w14:textId="6B16E747" w:rsidR="002507C9" w:rsidRDefault="002507C9" w:rsidP="002507C9">
      <w:pPr>
        <w:spacing w:after="6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1B7DF4">
        <w:rPr>
          <w:rFonts w:asciiTheme="minorHAnsi" w:hAnsiTheme="minorHAnsi" w:cstheme="minorHAnsi"/>
          <w:sz w:val="22"/>
          <w:szCs w:val="22"/>
          <w:lang w:eastAsia="en-US"/>
        </w:rPr>
        <w:t>A korrupció elleni rendszerszintű fellépés elmúlt 10 évének eredménye a magyar gazdaság kifehéredés</w:t>
      </w:r>
      <w:r>
        <w:rPr>
          <w:rFonts w:asciiTheme="minorHAnsi" w:hAnsiTheme="minorHAnsi" w:cstheme="minorHAnsi"/>
          <w:sz w:val="22"/>
          <w:szCs w:val="22"/>
          <w:lang w:eastAsia="en-US"/>
        </w:rPr>
        <w:t>ében is látszik</w:t>
      </w:r>
      <w:r w:rsidRPr="001B7DF4">
        <w:rPr>
          <w:rFonts w:asciiTheme="minorHAnsi" w:hAnsiTheme="minorHAnsi" w:cstheme="minorHAnsi"/>
          <w:sz w:val="22"/>
          <w:szCs w:val="22"/>
          <w:lang w:eastAsia="en-US"/>
        </w:rPr>
        <w:t xml:space="preserve">. Az </w:t>
      </w:r>
      <w:r>
        <w:rPr>
          <w:rFonts w:asciiTheme="minorHAnsi" w:hAnsiTheme="minorHAnsi" w:cstheme="minorHAnsi"/>
          <w:sz w:val="22"/>
          <w:szCs w:val="22"/>
          <w:lang w:eastAsia="en-US"/>
        </w:rPr>
        <w:t>ÁSZ</w:t>
      </w:r>
      <w:r w:rsidRPr="001B7DF4">
        <w:rPr>
          <w:rFonts w:asciiTheme="minorHAnsi" w:hAnsiTheme="minorHAnsi" w:cstheme="minorHAnsi"/>
          <w:sz w:val="22"/>
          <w:szCs w:val="22"/>
          <w:lang w:eastAsia="en-US"/>
        </w:rPr>
        <w:t xml:space="preserve"> számos eszközzel járult hozzá az elért eredményekhez. Ide tartozik a költségvetés tervezetének évenkénti véleményezése; a költségvetés végrehajtásának (zárszámadás) rendszeres ellenőrzése, amely magában foglalja a korrupciós veszélyek ellen védettséget biztosító belső kontrollrendszerek fejlesztését, </w:t>
      </w:r>
      <w:r>
        <w:rPr>
          <w:rFonts w:asciiTheme="minorHAnsi" w:hAnsiTheme="minorHAnsi" w:cstheme="minorHAnsi"/>
          <w:sz w:val="22"/>
          <w:szCs w:val="22"/>
          <w:lang w:eastAsia="en-US"/>
        </w:rPr>
        <w:t>t</w:t>
      </w:r>
      <w:r w:rsidRPr="001B7DF4">
        <w:rPr>
          <w:rFonts w:asciiTheme="minorHAnsi" w:hAnsiTheme="minorHAnsi" w:cstheme="minorHAnsi"/>
          <w:sz w:val="22"/>
          <w:szCs w:val="22"/>
          <w:lang w:eastAsia="en-US"/>
        </w:rPr>
        <w:t>ovábbá ide sorolhatók a költségvetési és makrogazdasági folyamatokat, az adórendszert, a digitális fejlesztéseket és egyéb, a magyar gazdaság fenntartható kifehérítését szolgáló számvevőszéki elemzések.</w:t>
      </w:r>
    </w:p>
    <w:p w14:paraId="35A5F93B" w14:textId="362705EC" w:rsidR="00DF4BC5" w:rsidRPr="00C50A21" w:rsidRDefault="00DF4BC5" w:rsidP="00C50A21">
      <w:pPr>
        <w:pStyle w:val="Listaszerbekezds"/>
        <w:spacing w:after="120" w:line="276" w:lineRule="auto"/>
        <w:ind w:left="0"/>
        <w:contextualSpacing w:val="0"/>
        <w:rPr>
          <w:rFonts w:asciiTheme="minorHAnsi" w:hAnsiTheme="minorHAnsi" w:cstheme="minorHAnsi"/>
          <w:sz w:val="22"/>
          <w:szCs w:val="22"/>
        </w:rPr>
      </w:pPr>
    </w:p>
    <w:p w14:paraId="1CE8419B" w14:textId="0875DD8A" w:rsidR="006A0673" w:rsidRPr="00C50A21" w:rsidRDefault="006A0673" w:rsidP="00C50A21">
      <w:pPr>
        <w:spacing w:after="160" w:line="276" w:lineRule="auto"/>
        <w:jc w:val="left"/>
        <w:rPr>
          <w:rFonts w:asciiTheme="minorHAnsi" w:hAnsiTheme="minorHAnsi" w:cstheme="minorHAnsi"/>
          <w:sz w:val="22"/>
          <w:szCs w:val="22"/>
          <w:lang w:eastAsia="en-US"/>
        </w:rPr>
      </w:pPr>
      <w:r w:rsidRPr="00C50A21">
        <w:rPr>
          <w:rFonts w:asciiTheme="minorHAnsi" w:hAnsiTheme="minorHAnsi" w:cstheme="minorHAnsi"/>
          <w:sz w:val="22"/>
          <w:szCs w:val="22"/>
          <w:lang w:eastAsia="en-US"/>
        </w:rPr>
        <w:br w:type="page"/>
      </w:r>
    </w:p>
    <w:p w14:paraId="3E0B0D2B" w14:textId="77777777" w:rsidR="00E67761" w:rsidRPr="00C50A21" w:rsidRDefault="00E67761" w:rsidP="00C50A21">
      <w:pPr>
        <w:pBdr>
          <w:bottom w:val="single" w:sz="6" w:space="1" w:color="auto"/>
        </w:pBdr>
        <w:spacing w:after="240" w:line="276" w:lineRule="auto"/>
        <w:rPr>
          <w:rFonts w:asciiTheme="minorHAnsi" w:hAnsiTheme="minorHAnsi" w:cstheme="minorHAnsi"/>
          <w:sz w:val="22"/>
          <w:szCs w:val="22"/>
        </w:rPr>
      </w:pPr>
    </w:p>
    <w:p w14:paraId="670B2EC5" w14:textId="49631286" w:rsidR="0017366A" w:rsidRPr="0017366A" w:rsidRDefault="00E67761" w:rsidP="0017366A">
      <w:pPr>
        <w:spacing w:after="120"/>
        <w:rPr>
          <w:rFonts w:asciiTheme="minorHAnsi" w:hAnsiTheme="minorHAnsi"/>
          <w:b/>
          <w:bCs/>
          <w:sz w:val="24"/>
          <w:szCs w:val="24"/>
        </w:rPr>
      </w:pPr>
      <w:r w:rsidRPr="0017366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126769E4" wp14:editId="2455FF09">
            <wp:simplePos x="0" y="0"/>
            <wp:positionH relativeFrom="margin">
              <wp:posOffset>66675</wp:posOffset>
            </wp:positionH>
            <wp:positionV relativeFrom="margin">
              <wp:posOffset>520065</wp:posOffset>
            </wp:positionV>
            <wp:extent cx="1138555" cy="1138555"/>
            <wp:effectExtent l="0" t="0" r="4445" b="4445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jmnb_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66A" w:rsidRPr="0017366A">
        <w:rPr>
          <w:rFonts w:asciiTheme="minorHAnsi" w:hAnsiTheme="minorHAnsi" w:cstheme="minorHAnsi"/>
          <w:b/>
          <w:bCs/>
          <w:sz w:val="22"/>
          <w:szCs w:val="22"/>
        </w:rPr>
        <w:t xml:space="preserve">Az integritás erősítésére az MNB idén megújította belső Etikai Kódexét, amely a jogszabályokon túl további etikai követelményeket határoz meg az egyes szakterületeknek. A jegybanknál a belső kontrollokat értékelő Integrált Bizonyosság Program keretében mérik fel az intézményen belüli folyamatok, tevékenységek kockázati kitettségét, kontrollkörnyezetét. Új </w:t>
      </w:r>
      <w:proofErr w:type="spellStart"/>
      <w:r w:rsidR="0017366A" w:rsidRPr="0017366A">
        <w:rPr>
          <w:rFonts w:asciiTheme="minorHAnsi" w:hAnsiTheme="minorHAnsi" w:cstheme="minorHAnsi"/>
          <w:b/>
          <w:bCs/>
          <w:sz w:val="22"/>
          <w:szCs w:val="22"/>
        </w:rPr>
        <w:t>compliance</w:t>
      </w:r>
      <w:proofErr w:type="spellEnd"/>
      <w:r w:rsidR="0017366A" w:rsidRPr="0017366A">
        <w:rPr>
          <w:rFonts w:asciiTheme="minorHAnsi" w:hAnsiTheme="minorHAnsi" w:cstheme="minorHAnsi"/>
          <w:b/>
          <w:bCs/>
          <w:sz w:val="22"/>
          <w:szCs w:val="22"/>
        </w:rPr>
        <w:t xml:space="preserve"> kockázatértékelési módszertan jött létre a VIBER kapcsán az új és a meglévő ügyfélkört érintően a visszaélések, csalárd kezdeményezések megelőzésére, amit a fizetési, elszámolási, kiegyenlítési rendszer kapcsán érintett valamennyi szereplő is alkalmazhat</w:t>
      </w:r>
      <w:r w:rsidR="0017366A">
        <w:rPr>
          <w:b/>
          <w:bCs/>
          <w:i/>
          <w:iCs/>
          <w:sz w:val="24"/>
          <w:szCs w:val="24"/>
        </w:rPr>
        <w:t>.</w:t>
      </w:r>
    </w:p>
    <w:p w14:paraId="330E34E0" w14:textId="77777777" w:rsidR="0017366A" w:rsidRPr="0017366A" w:rsidRDefault="0017366A" w:rsidP="001736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7366A">
        <w:rPr>
          <w:rFonts w:asciiTheme="minorHAnsi" w:hAnsiTheme="minorHAnsi" w:cstheme="minorHAnsi"/>
          <w:sz w:val="22"/>
          <w:szCs w:val="22"/>
        </w:rPr>
        <w:t xml:space="preserve">A Magyar Nemzeti Bank (MNB) </w:t>
      </w:r>
      <w:r w:rsidRPr="0017366A">
        <w:rPr>
          <w:rFonts w:asciiTheme="minorHAnsi" w:hAnsiTheme="minorHAnsi" w:cstheme="minorHAnsi"/>
          <w:b/>
          <w:bCs/>
          <w:sz w:val="22"/>
          <w:szCs w:val="22"/>
        </w:rPr>
        <w:t>2021-ben megújított Etikai Kódexében fogalmazta meg a jogszabályokon, belső utasításokon túli további etikai elvárásait munkatársaival szemben.</w:t>
      </w:r>
      <w:r w:rsidRPr="0017366A">
        <w:rPr>
          <w:rFonts w:asciiTheme="minorHAnsi" w:hAnsiTheme="minorHAnsi" w:cstheme="minorHAnsi"/>
          <w:sz w:val="22"/>
          <w:szCs w:val="22"/>
        </w:rPr>
        <w:t xml:space="preserve"> A dokumentum értékek és elvek átfogó gyűjteménye, a jegybanki munkavégzés kapcsán irányadó magatartási normák foglalata, s rendelkezik az etikai vétségek kivizsgálásának rendjéről és az Etikai Bizottság működéséről is. Alapelve, hogy a megfelelőség nem kizárólagosan jogi fogalom, hanem kultúra és értékrend, stabilitás és kreativitás, a világhoz és a munkatársak saját értékeihez való rendezett viszony.</w:t>
      </w:r>
    </w:p>
    <w:p w14:paraId="430F5223" w14:textId="77777777" w:rsidR="0017366A" w:rsidRPr="0017366A" w:rsidRDefault="0017366A" w:rsidP="001736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7366A">
        <w:rPr>
          <w:rFonts w:asciiTheme="minorHAnsi" w:hAnsiTheme="minorHAnsi" w:cstheme="minorHAnsi"/>
          <w:b/>
          <w:bCs/>
          <w:sz w:val="22"/>
          <w:szCs w:val="22"/>
        </w:rPr>
        <w:t>Az MNB belső kontrollfunkciókat ellátó szervezeti egységei a belső kontrollokat értékelő Integrált Bizonyosság Programot működtetnek</w:t>
      </w:r>
      <w:r w:rsidRPr="0017366A">
        <w:rPr>
          <w:rFonts w:asciiTheme="minorHAnsi" w:hAnsiTheme="minorHAnsi" w:cstheme="minorHAnsi"/>
          <w:sz w:val="22"/>
          <w:szCs w:val="22"/>
        </w:rPr>
        <w:t xml:space="preserve">, amely – nemcsak szakértői, de vezetői szinten is – feltérképezi és </w:t>
      </w:r>
      <w:proofErr w:type="spellStart"/>
      <w:r w:rsidRPr="0017366A">
        <w:rPr>
          <w:rFonts w:asciiTheme="minorHAnsi" w:hAnsiTheme="minorHAnsi" w:cstheme="minorHAnsi"/>
          <w:sz w:val="22"/>
          <w:szCs w:val="22"/>
        </w:rPr>
        <w:t>validálja</w:t>
      </w:r>
      <w:proofErr w:type="spellEnd"/>
      <w:r w:rsidRPr="0017366A">
        <w:rPr>
          <w:rFonts w:asciiTheme="minorHAnsi" w:hAnsiTheme="minorHAnsi" w:cstheme="minorHAnsi"/>
          <w:sz w:val="22"/>
          <w:szCs w:val="22"/>
        </w:rPr>
        <w:t xml:space="preserve"> a folyamatok, tevékenységek kockázati kitettségét és kontrollkörnyezetét. Az értékelések adják az alapot a kontrolltevékenység fejlesztésére. Kiemelt cél a megelőzés is, ami révén a szakterületek még az esetleges incidensek előtt vizsgálhatják felül kockázataikat, meglévő kontrolljaikat, és időben hozhatják meg intézkedéseiket.</w:t>
      </w:r>
    </w:p>
    <w:p w14:paraId="3DCEDD9C" w14:textId="77777777" w:rsidR="0017366A" w:rsidRPr="0017366A" w:rsidRDefault="0017366A" w:rsidP="001736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7366A">
        <w:rPr>
          <w:rFonts w:asciiTheme="minorHAnsi" w:hAnsiTheme="minorHAnsi" w:cstheme="minorHAnsi"/>
          <w:sz w:val="22"/>
          <w:szCs w:val="22"/>
        </w:rPr>
        <w:t xml:space="preserve">A kormány határozata alapján a 2022-ig terjedő időszakra vonatkozó </w:t>
      </w:r>
      <w:r w:rsidRPr="0017366A">
        <w:rPr>
          <w:rFonts w:asciiTheme="minorHAnsi" w:hAnsiTheme="minorHAnsi" w:cstheme="minorHAnsi"/>
          <w:b/>
          <w:bCs/>
          <w:sz w:val="22"/>
          <w:szCs w:val="22"/>
        </w:rPr>
        <w:t xml:space="preserve">Nemzeti Korrupcióellenes Stratégia végrehajtása során a jegybank több kiemelt belső </w:t>
      </w:r>
      <w:proofErr w:type="spellStart"/>
      <w:r w:rsidRPr="0017366A">
        <w:rPr>
          <w:rFonts w:asciiTheme="minorHAnsi" w:hAnsiTheme="minorHAnsi" w:cstheme="minorHAnsi"/>
          <w:b/>
          <w:bCs/>
          <w:sz w:val="22"/>
          <w:szCs w:val="22"/>
        </w:rPr>
        <w:t>compliance</w:t>
      </w:r>
      <w:proofErr w:type="spellEnd"/>
      <w:r w:rsidRPr="0017366A">
        <w:rPr>
          <w:rFonts w:asciiTheme="minorHAnsi" w:hAnsiTheme="minorHAnsi" w:cstheme="minorHAnsi"/>
          <w:b/>
          <w:bCs/>
          <w:sz w:val="22"/>
          <w:szCs w:val="22"/>
        </w:rPr>
        <w:t xml:space="preserve"> feladatot hajtott végre.</w:t>
      </w:r>
      <w:r w:rsidRPr="0017366A">
        <w:rPr>
          <w:rFonts w:asciiTheme="minorHAnsi" w:hAnsiTheme="minorHAnsi" w:cstheme="minorHAnsi"/>
          <w:sz w:val="22"/>
          <w:szCs w:val="22"/>
        </w:rPr>
        <w:t xml:space="preserve"> Az intézményen belüli beszerzési területtel együttműködve fejlesztette a beszerzési követelményrendszer megfelelőségi szempontrendszerét. A Nemzeti Védelmi Szolgálat által koordinált projekt keretében fejlesztette sajátos integritásirányítási rendszerét és az integritási kockázatok érzékelését mérő módszertanát, illetve integritásfejlesztési képzéseket tartott és megosztotta tapasztalatait a munkában résztvevő egyéb intézmények számára. Hasznosította a szakmai fókuszú tudatosító programok tapasztalatait a bankműveleti és tartalékkezelési tevékenységet végző szakterületek részére. Az ügyintézési folyamatokban rejlő kockázatok további mérséklése érdekében támogatta a működés technológiai alapú folyamatai fejlesztését, egyszerűbbé, gyorsabbá, nyomon követhetővé tételét.</w:t>
      </w:r>
    </w:p>
    <w:p w14:paraId="44187BCB" w14:textId="77777777" w:rsidR="0017366A" w:rsidRPr="0017366A" w:rsidRDefault="0017366A" w:rsidP="001736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7366A">
        <w:rPr>
          <w:rFonts w:asciiTheme="minorHAnsi" w:hAnsiTheme="minorHAnsi" w:cstheme="minorHAnsi"/>
          <w:sz w:val="22"/>
          <w:szCs w:val="22"/>
        </w:rPr>
        <w:t xml:space="preserve">Szintén kormányzati kezdeményezés nyomán készült fel idén az MNB (több állami társintézménnyel együttműködve) </w:t>
      </w:r>
      <w:r w:rsidRPr="0017366A">
        <w:rPr>
          <w:rFonts w:asciiTheme="minorHAnsi" w:hAnsiTheme="minorHAnsi" w:cstheme="minorHAnsi"/>
          <w:b/>
          <w:bCs/>
          <w:sz w:val="22"/>
          <w:szCs w:val="22"/>
        </w:rPr>
        <w:t>a pénzügyi ágazatba tartozó létfontosságú rendszerelemek – pl. készpénzellátás, devizatartalék-kezelés, pénzforgalom, pénzügyi rendszer stabilitása és felügyelése – hibrid fenyegetéseivel szembeni védelmének fejlesztésére.</w:t>
      </w:r>
      <w:r w:rsidRPr="0017366A">
        <w:rPr>
          <w:rFonts w:asciiTheme="minorHAnsi" w:hAnsiTheme="minorHAnsi" w:cstheme="minorHAnsi"/>
          <w:sz w:val="22"/>
          <w:szCs w:val="22"/>
        </w:rPr>
        <w:t xml:space="preserve"> E folyamat reflektál a </w:t>
      </w:r>
      <w:proofErr w:type="gramStart"/>
      <w:r w:rsidRPr="0017366A">
        <w:rPr>
          <w:rFonts w:asciiTheme="minorHAnsi" w:hAnsiTheme="minorHAnsi" w:cstheme="minorHAnsi"/>
          <w:sz w:val="22"/>
          <w:szCs w:val="22"/>
        </w:rPr>
        <w:t>világjárvány(</w:t>
      </w:r>
      <w:proofErr w:type="gramEnd"/>
      <w:r w:rsidRPr="0017366A">
        <w:rPr>
          <w:rFonts w:asciiTheme="minorHAnsi" w:hAnsiTheme="minorHAnsi" w:cstheme="minorHAnsi"/>
          <w:sz w:val="22"/>
          <w:szCs w:val="22"/>
        </w:rPr>
        <w:t xml:space="preserve">ok) utáni komplex újraindítás, a digitális forradalom, </w:t>
      </w:r>
      <w:proofErr w:type="spellStart"/>
      <w:r w:rsidRPr="0017366A">
        <w:rPr>
          <w:rFonts w:asciiTheme="minorHAnsi" w:hAnsiTheme="minorHAnsi" w:cstheme="minorHAnsi"/>
          <w:sz w:val="22"/>
          <w:szCs w:val="22"/>
        </w:rPr>
        <w:t>robotizáció</w:t>
      </w:r>
      <w:proofErr w:type="spellEnd"/>
      <w:r w:rsidRPr="0017366A">
        <w:rPr>
          <w:rFonts w:asciiTheme="minorHAnsi" w:hAnsiTheme="minorHAnsi" w:cstheme="minorHAnsi"/>
          <w:sz w:val="22"/>
          <w:szCs w:val="22"/>
        </w:rPr>
        <w:t xml:space="preserve">, mesterséges intelligenciák használata, vagy akár az új </w:t>
      </w:r>
      <w:proofErr w:type="spellStart"/>
      <w:r w:rsidRPr="0017366A">
        <w:rPr>
          <w:rFonts w:asciiTheme="minorHAnsi" w:hAnsiTheme="minorHAnsi" w:cstheme="minorHAnsi"/>
          <w:sz w:val="22"/>
          <w:szCs w:val="22"/>
        </w:rPr>
        <w:t>fintech</w:t>
      </w:r>
      <w:proofErr w:type="spellEnd"/>
      <w:r w:rsidRPr="0017366A">
        <w:rPr>
          <w:rFonts w:asciiTheme="minorHAnsi" w:hAnsiTheme="minorHAnsi" w:cstheme="minorHAnsi"/>
          <w:sz w:val="22"/>
          <w:szCs w:val="22"/>
        </w:rPr>
        <w:t xml:space="preserve"> fejlesztések okozta </w:t>
      </w:r>
      <w:proofErr w:type="spellStart"/>
      <w:r w:rsidRPr="0017366A">
        <w:rPr>
          <w:rFonts w:asciiTheme="minorHAnsi" w:hAnsiTheme="minorHAnsi" w:cstheme="minorHAnsi"/>
          <w:sz w:val="22"/>
          <w:szCs w:val="22"/>
        </w:rPr>
        <w:t>compliance</w:t>
      </w:r>
      <w:proofErr w:type="spellEnd"/>
      <w:r w:rsidRPr="0017366A">
        <w:rPr>
          <w:rFonts w:asciiTheme="minorHAnsi" w:hAnsiTheme="minorHAnsi" w:cstheme="minorHAnsi"/>
          <w:sz w:val="22"/>
          <w:szCs w:val="22"/>
        </w:rPr>
        <w:t xml:space="preserve"> kihívásokra is.</w:t>
      </w:r>
    </w:p>
    <w:p w14:paraId="7A51F794" w14:textId="77777777" w:rsidR="0017366A" w:rsidRPr="0017366A" w:rsidRDefault="0017366A" w:rsidP="001736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7366A">
        <w:rPr>
          <w:rFonts w:asciiTheme="minorHAnsi" w:hAnsiTheme="minorHAnsi" w:cstheme="minorHAnsi"/>
          <w:sz w:val="22"/>
          <w:szCs w:val="22"/>
        </w:rPr>
        <w:t xml:space="preserve">Az MNB olyan </w:t>
      </w:r>
      <w:r w:rsidRPr="0017366A">
        <w:rPr>
          <w:rFonts w:asciiTheme="minorHAnsi" w:hAnsiTheme="minorHAnsi" w:cstheme="minorHAnsi"/>
          <w:b/>
          <w:bCs/>
          <w:sz w:val="22"/>
          <w:szCs w:val="22"/>
        </w:rPr>
        <w:t>új kockázatértékelési módszertant dolgozott ki a pénzforgalmi valós idejű bruttó elszámolási rendszer (VIBER) tekintetében</w:t>
      </w:r>
      <w:r w:rsidRPr="0017366A">
        <w:rPr>
          <w:rFonts w:asciiTheme="minorHAnsi" w:hAnsiTheme="minorHAnsi" w:cstheme="minorHAnsi"/>
          <w:sz w:val="22"/>
          <w:szCs w:val="22"/>
        </w:rPr>
        <w:t xml:space="preserve">, amely az új és meglévő ügyfelek vonatkozásában is hatékonyan teszi lehetővé azoknak a </w:t>
      </w:r>
      <w:proofErr w:type="spellStart"/>
      <w:r w:rsidRPr="0017366A">
        <w:rPr>
          <w:rFonts w:asciiTheme="minorHAnsi" w:hAnsiTheme="minorHAnsi" w:cstheme="minorHAnsi"/>
          <w:sz w:val="22"/>
          <w:szCs w:val="22"/>
        </w:rPr>
        <w:t>compliance</w:t>
      </w:r>
      <w:proofErr w:type="spellEnd"/>
      <w:r w:rsidRPr="0017366A">
        <w:rPr>
          <w:rFonts w:asciiTheme="minorHAnsi" w:hAnsiTheme="minorHAnsi" w:cstheme="minorHAnsi"/>
          <w:sz w:val="22"/>
          <w:szCs w:val="22"/>
        </w:rPr>
        <w:t xml:space="preserve"> kockázataik szerinti belső minősítését és a kockázati szint szerinti besorolását. A módszertan figyelembe veszi az adott intézmény „jó kormányzás” követelményei terén fennálló állapotát, az integritáskontrollok meglétét is. A tudatosan összehangolt módszertan előnye, hogy azt a fizetési, elszámolási, kiegyenlítési rendszereket üzemeltető valamennyi intézmény azonos módon alkalmazhatja az esetleges visszaélések megelőzése, a csalárd szándékok kiszűrése érdekében.</w:t>
      </w:r>
    </w:p>
    <w:p w14:paraId="3593EAFE" w14:textId="77777777" w:rsidR="0017366A" w:rsidRPr="0017366A" w:rsidRDefault="0017366A" w:rsidP="001736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7366A">
        <w:rPr>
          <w:rFonts w:asciiTheme="minorHAnsi" w:hAnsiTheme="minorHAnsi" w:cstheme="minorHAnsi"/>
          <w:b/>
          <w:bCs/>
          <w:sz w:val="22"/>
          <w:szCs w:val="22"/>
        </w:rPr>
        <w:t>Az MNB kiemelt figyelmet fordít munkatársai integrált képzéseire, s ennek módszertani fejlesztésére.</w:t>
      </w:r>
      <w:r w:rsidRPr="0017366A">
        <w:rPr>
          <w:rFonts w:asciiTheme="minorHAnsi" w:hAnsiTheme="minorHAnsi" w:cstheme="minorHAnsi"/>
          <w:sz w:val="22"/>
          <w:szCs w:val="22"/>
        </w:rPr>
        <w:t xml:space="preserve"> Az integritási kultúra fejlesztése során alapelv, hogy az nem pusztán ismeretátadást, hanem a belső meggyőződésből fakadó formálódást, a jegybanki kultúrával való azonosulást jelent a munkatársak részére. Az integritási képzések sarokpontjai egyrészt az összefüggésekben való gondolkodás, a közösségi jellegű, a munkatársakkal, ügyfelekkel együttműködő, a társadalmi hatásokat is figyelembe vevő munkavégzés, illetve fontos cél a megismertek továbbadása, hasznosítása, az intézményi küldetést megvalósító, s a közjót is szolgáló működés megvalósítása is.</w:t>
      </w:r>
    </w:p>
    <w:p w14:paraId="0B172808" w14:textId="77777777" w:rsidR="00E67761" w:rsidRPr="00C50A21" w:rsidRDefault="00E67761" w:rsidP="00C50A21">
      <w:pPr>
        <w:spacing w:after="240"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br w:type="page"/>
      </w:r>
    </w:p>
    <w:p w14:paraId="6C1E0729" w14:textId="77777777" w:rsidR="00BD457F" w:rsidRPr="00C50A21" w:rsidRDefault="00BD457F" w:rsidP="00BD457F">
      <w:pPr>
        <w:pBdr>
          <w:bottom w:val="single" w:sz="6" w:space="1" w:color="auto"/>
        </w:pBdr>
        <w:spacing w:after="240" w:line="276" w:lineRule="auto"/>
        <w:rPr>
          <w:rFonts w:asciiTheme="minorHAnsi" w:hAnsiTheme="minorHAnsi" w:cstheme="minorHAnsi"/>
          <w:sz w:val="22"/>
          <w:szCs w:val="22"/>
        </w:rPr>
      </w:pPr>
    </w:p>
    <w:p w14:paraId="249BFACA" w14:textId="0EF0D341" w:rsidR="00670376" w:rsidRPr="00670376" w:rsidRDefault="00BD457F" w:rsidP="00BD457F">
      <w:pPr>
        <w:spacing w:line="276" w:lineRule="auto"/>
        <w:rPr>
          <w:rFonts w:asciiTheme="minorHAnsi" w:hAnsiTheme="minorHAnsi" w:cstheme="minorHAnsi"/>
          <w:b/>
          <w:bCs/>
          <w:sz w:val="16"/>
          <w:szCs w:val="16"/>
        </w:rPr>
      </w:pPr>
      <w:r w:rsidRPr="00C50A21"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716608" behindDoc="0" locked="0" layoutInCell="1" allowOverlap="1" wp14:anchorId="145EBD04" wp14:editId="1186084A">
            <wp:simplePos x="0" y="0"/>
            <wp:positionH relativeFrom="column">
              <wp:posOffset>14605</wp:posOffset>
            </wp:positionH>
            <wp:positionV relativeFrom="paragraph">
              <wp:posOffset>306705</wp:posOffset>
            </wp:positionV>
            <wp:extent cx="2571115" cy="894715"/>
            <wp:effectExtent l="0" t="0" r="635" b="63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2543B" w14:textId="7B526FE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C50A21">
        <w:rPr>
          <w:rFonts w:asciiTheme="minorHAnsi" w:hAnsiTheme="minorHAnsi" w:cstheme="minorHAnsi"/>
          <w:b/>
          <w:bCs/>
          <w:sz w:val="22"/>
          <w:szCs w:val="22"/>
        </w:rPr>
        <w:t>A Gazdasági Versenyhivatal (GVH) folytatta megkezdett munkáját a korrupciós kockázatok csökkentésében. A versenyhatóság tavalyi szervezeti átalakítását követően idén már az integritás szempontjából is megerősített belső struktúrával végezte feladatait.</w:t>
      </w:r>
    </w:p>
    <w:p w14:paraId="1EB619C7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 Gazdasági Versenyhivatal 2021-ben a korábbiakhoz képest </w:t>
      </w:r>
      <w:r w:rsidRPr="00C50A21">
        <w:rPr>
          <w:rFonts w:asciiTheme="minorHAnsi" w:hAnsiTheme="minorHAnsi" w:cstheme="minorHAnsi"/>
          <w:b/>
          <w:bCs/>
          <w:sz w:val="22"/>
          <w:szCs w:val="22"/>
        </w:rPr>
        <w:t>gyorsabban reagáló és ügyfélközpontú nemzeti hatóságként</w:t>
      </w:r>
      <w:r w:rsidRPr="00C50A21">
        <w:rPr>
          <w:rFonts w:asciiTheme="minorHAnsi" w:hAnsiTheme="minorHAnsi" w:cstheme="minorHAnsi"/>
          <w:sz w:val="22"/>
          <w:szCs w:val="22"/>
        </w:rPr>
        <w:t xml:space="preserve"> működött. A versenyhatóság nemzeti jellege nem csak külsőségekben nyert megerősítést, hanem működésében is megmutatkozik: prioritásként kezeli a hazai fogyasztók problémáinak minél hatékonyabb kezelését, a magyar vállalkozásokat érintő káros piaci jelenségekkel szembeni fellépést, illetve a versenyjogi jogsértések hatásainak közvetlen kompenzációját. A GVH versenyfelügyeleti eljárásai így </w:t>
      </w:r>
      <w:r w:rsidRPr="00C50A21">
        <w:rPr>
          <w:rFonts w:asciiTheme="minorHAnsi" w:hAnsiTheme="minorHAnsi" w:cstheme="minorHAnsi"/>
          <w:b/>
          <w:bCs/>
          <w:sz w:val="22"/>
          <w:szCs w:val="22"/>
        </w:rPr>
        <w:t xml:space="preserve">alkalmasabbá váltak a fogyasztókat ért hátrányok jóvátételére. </w:t>
      </w:r>
    </w:p>
    <w:p w14:paraId="4B079F90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 hatósághoz érkező jelzések emelkedő száma jól mutatja, hogy </w:t>
      </w:r>
      <w:r w:rsidRPr="00C50A21">
        <w:rPr>
          <w:rFonts w:asciiTheme="minorHAnsi" w:hAnsiTheme="minorHAnsi" w:cstheme="minorHAnsi"/>
          <w:b/>
          <w:bCs/>
          <w:sz w:val="22"/>
          <w:szCs w:val="22"/>
        </w:rPr>
        <w:t>a hazai fogyasztók és vállalkozások bíznak a GVH-ban</w:t>
      </w:r>
      <w:r w:rsidRPr="00C50A21">
        <w:rPr>
          <w:rFonts w:asciiTheme="minorHAnsi" w:hAnsiTheme="minorHAnsi" w:cstheme="minorHAnsi"/>
          <w:sz w:val="22"/>
          <w:szCs w:val="22"/>
        </w:rPr>
        <w:t>. Idén eddig több mint 1200 megkeresés (panasz, illetve bejelentés) érkezett a hivatalhoz. A versenyhatóság kiemelten gyorsan megvizsgálja a hozzá érkező jelzéseket és dönt az esetleges fellépés szükségességéről.</w:t>
      </w:r>
    </w:p>
    <w:p w14:paraId="7E8140F5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 GVH versenyfelügyeleti eszköztára idén új eszközzel bővült: a </w:t>
      </w:r>
      <w:r w:rsidRPr="00C50A21">
        <w:rPr>
          <w:rFonts w:asciiTheme="minorHAnsi" w:hAnsiTheme="minorHAnsi" w:cstheme="minorHAnsi"/>
          <w:b/>
          <w:bCs/>
          <w:sz w:val="22"/>
          <w:szCs w:val="22"/>
        </w:rPr>
        <w:t>gyorsított ágazati vizsgálat</w:t>
      </w:r>
      <w:r w:rsidRPr="00C50A21">
        <w:rPr>
          <w:rFonts w:asciiTheme="minorHAnsi" w:hAnsiTheme="minorHAnsi" w:cstheme="minorHAnsi"/>
          <w:sz w:val="22"/>
          <w:szCs w:val="22"/>
        </w:rPr>
        <w:t xml:space="preserve"> lehetőségével, amelyet a Kormány a veszélyhelyzet idejére, a járvány negatív gazdasági hatásaival küzdő szektorok hatékonyabb feltérképezése érdekében vezetett be a hazai jogrendbe. A versenyhatóság az építőipar két lényeges alapanyag-piacán (tégla, épületfa) is élt új jogszabályi lehetőségével azért, hogy pontosabb képet kaphasson a drágulást okozó esetleges versenytorzulásokról.</w:t>
      </w:r>
    </w:p>
    <w:p w14:paraId="3FA5FB8D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Emellett idén is folyamatos volt </w:t>
      </w:r>
      <w:r w:rsidRPr="00C50A21">
        <w:rPr>
          <w:rFonts w:asciiTheme="minorHAnsi" w:hAnsiTheme="minorHAnsi" w:cstheme="minorHAnsi"/>
          <w:b/>
          <w:bCs/>
          <w:sz w:val="22"/>
          <w:szCs w:val="22"/>
        </w:rPr>
        <w:t>a tisztességes piaci verseny figyelemmel kísérése és védelme a GVH hagyományos eszköztárával.</w:t>
      </w:r>
      <w:r w:rsidRPr="00C50A21">
        <w:rPr>
          <w:rFonts w:asciiTheme="minorHAnsi" w:hAnsiTheme="minorHAnsi" w:cstheme="minorHAnsi"/>
          <w:sz w:val="22"/>
          <w:szCs w:val="22"/>
        </w:rPr>
        <w:t xml:space="preserve"> A hatóság kartellfelderítő munkatársai több mint 50 vállalatnál jelentek meg, a rajtaütések során 13,5 TB adatot gyűjtöttek. Ez a mennyiség hozzávetőleg egymillió fotónak, vagy 1350 mozifilmnek felel meg. A GVH anonim kommunikációs csatornáján, a Kartell Chaten a hatóság kollégái 14 témában vették fel a kapcsolatot a nevük elhallgatását kérőkkel.</w:t>
      </w:r>
    </w:p>
    <w:p w14:paraId="5DB03680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 nemzeti versenyhatóság </w:t>
      </w:r>
      <w:r w:rsidRPr="00C50A21">
        <w:rPr>
          <w:rFonts w:asciiTheme="minorHAnsi" w:hAnsiTheme="minorHAnsi" w:cstheme="minorHAnsi"/>
          <w:b/>
          <w:bCs/>
          <w:sz w:val="22"/>
          <w:szCs w:val="22"/>
        </w:rPr>
        <w:t>versenyfelügyeleti döntéshozatala is aktív volt</w:t>
      </w:r>
      <w:r w:rsidRPr="00C50A21">
        <w:rPr>
          <w:rFonts w:asciiTheme="minorHAnsi" w:hAnsiTheme="minorHAnsi" w:cstheme="minorHAnsi"/>
          <w:sz w:val="22"/>
          <w:szCs w:val="22"/>
        </w:rPr>
        <w:t xml:space="preserve"> az idei évben: a Versenytanács eddig 34 ügyet zárt le, melyből 23 esetben állapított meg olyan jogsértést, ahol összesen 66 vállalkozás érintett. 2021-ben a jogsértések során kiszabott összes bírság eddig 17,3 milliárd forint volt, melynek döntő része – 16,3 milliárd forint – kartellmagatartások miatt került elrendelésre. Ezzel végképp sikerült a GVH-nak megtörnie azt a hamis percepciót, hogy a hatóság inkább fogyasztóvédelmi ügyekben aktív és szab ki nagy bírságokat.  </w:t>
      </w:r>
    </w:p>
    <w:p w14:paraId="4C27A404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 GVH </w:t>
      </w:r>
      <w:r w:rsidRPr="00C50A21">
        <w:rPr>
          <w:rFonts w:asciiTheme="minorHAnsi" w:hAnsiTheme="minorHAnsi" w:cstheme="minorHAnsi"/>
          <w:b/>
          <w:bCs/>
          <w:sz w:val="22"/>
          <w:szCs w:val="22"/>
        </w:rPr>
        <w:t>összefonódás-ellenőrző tevékenységével kapcsolatban</w:t>
      </w:r>
      <w:r w:rsidRPr="00C50A21">
        <w:rPr>
          <w:rFonts w:asciiTheme="minorHAnsi" w:hAnsiTheme="minorHAnsi" w:cstheme="minorHAnsi"/>
          <w:sz w:val="22"/>
          <w:szCs w:val="22"/>
        </w:rPr>
        <w:t xml:space="preserve"> kiemelendő, hogy a tapasztalatok szerint </w:t>
      </w:r>
      <w:r w:rsidRPr="00C50A21">
        <w:rPr>
          <w:rFonts w:asciiTheme="minorHAnsi" w:hAnsiTheme="minorHAnsi" w:cstheme="minorHAnsi"/>
          <w:b/>
          <w:bCs/>
          <w:sz w:val="22"/>
          <w:szCs w:val="22"/>
        </w:rPr>
        <w:t>a hatóság szava a legtöbbször elegendő</w:t>
      </w:r>
      <w:r w:rsidRPr="00C50A21">
        <w:rPr>
          <w:rFonts w:asciiTheme="minorHAnsi" w:hAnsiTheme="minorHAnsi" w:cstheme="minorHAnsi"/>
          <w:sz w:val="22"/>
          <w:szCs w:val="22"/>
        </w:rPr>
        <w:t>. A GVH törvény alapján történő jelzésére a felek jellemzően önként korrigálnak. A vállalkozások az idei évben minden esetben eljárásindítás nélkül összhangba hozták a fúzióhoz kapcsolódó megállapodásaikat a törvényi elvárásokkal.</w:t>
      </w:r>
    </w:p>
    <w:p w14:paraId="27CC0D4A" w14:textId="77777777" w:rsidR="00BD457F" w:rsidRPr="00C50A21" w:rsidRDefault="00BD457F" w:rsidP="00BD457F">
      <w:pPr>
        <w:pStyle w:val="NormlWeb"/>
        <w:spacing w:before="120" w:beforeAutospacing="0" w:after="12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Októberben a Gazdasági Versenyhivatal szervezésében zajlott le a világ csaknem 140 versenyhatóságát tömörítő </w:t>
      </w:r>
      <w:r w:rsidRPr="00C50A21">
        <w:rPr>
          <w:rFonts w:asciiTheme="minorHAnsi" w:hAnsiTheme="minorHAnsi" w:cstheme="minorHAnsi"/>
          <w:b/>
          <w:bCs/>
          <w:sz w:val="22"/>
          <w:szCs w:val="22"/>
        </w:rPr>
        <w:t>Nemzetközi Versenyhálózat (ICN) konferenciája</w:t>
      </w:r>
      <w:r w:rsidRPr="00C50A21">
        <w:rPr>
          <w:rFonts w:asciiTheme="minorHAnsi" w:hAnsiTheme="minorHAnsi" w:cstheme="minorHAnsi"/>
          <w:sz w:val="22"/>
          <w:szCs w:val="22"/>
        </w:rPr>
        <w:t xml:space="preserve">. </w:t>
      </w:r>
      <w:r w:rsidRPr="00C50A21">
        <w:rPr>
          <w:rFonts w:asciiTheme="minorHAnsi" w:hAnsiTheme="minorHAnsi" w:cstheme="minorHAnsi"/>
          <w:color w:val="000000"/>
          <w:sz w:val="22"/>
          <w:szCs w:val="22"/>
        </w:rPr>
        <w:t xml:space="preserve">Az esemény a járványhelyzetre tekintettel online formában került megrendezésre, mely hatékony és költségtakarékos döntésnek bizonyult: a korábbi konferenciák létszámánál mintegy háromszor több, </w:t>
      </w:r>
      <w:r w:rsidRPr="00C50A21">
        <w:rPr>
          <w:rFonts w:asciiTheme="minorHAnsi" w:hAnsiTheme="minorHAnsi" w:cstheme="minorHAnsi"/>
          <w:sz w:val="22"/>
          <w:szCs w:val="22"/>
          <w:lang w:eastAsia="en-US"/>
        </w:rPr>
        <w:t xml:space="preserve">1768 főt vonzott, miközben a GVH az eseményre elkülönített költségvetési keretének mintegy </w:t>
      </w:r>
      <w:proofErr w:type="spellStart"/>
      <w:r w:rsidRPr="00C50A21">
        <w:rPr>
          <w:rFonts w:asciiTheme="minorHAnsi" w:hAnsiTheme="minorHAnsi" w:cstheme="minorHAnsi"/>
          <w:sz w:val="22"/>
          <w:szCs w:val="22"/>
          <w:lang w:eastAsia="en-US"/>
        </w:rPr>
        <w:t>nyolcadát</w:t>
      </w:r>
      <w:proofErr w:type="spellEnd"/>
      <w:r w:rsidRPr="00C50A21">
        <w:rPr>
          <w:rFonts w:asciiTheme="minorHAnsi" w:hAnsiTheme="minorHAnsi" w:cstheme="minorHAnsi"/>
          <w:sz w:val="22"/>
          <w:szCs w:val="22"/>
          <w:lang w:eastAsia="en-US"/>
        </w:rPr>
        <w:t xml:space="preserve"> használta fel, </w:t>
      </w:r>
      <w:r w:rsidRPr="00C50A21">
        <w:rPr>
          <w:rFonts w:asciiTheme="minorHAnsi" w:hAnsiTheme="minorHAnsi" w:cstheme="minorHAnsi"/>
          <w:sz w:val="22"/>
          <w:szCs w:val="22"/>
        </w:rPr>
        <w:t>innovatív módon építve a hazai versenyszakma hírnevét elismertségét.</w:t>
      </w:r>
    </w:p>
    <w:p w14:paraId="5A268F92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F5B95F2" w14:textId="3578037C" w:rsidR="00BD457F" w:rsidRDefault="00BD457F">
      <w:pPr>
        <w:spacing w:after="160" w:line="259" w:lineRule="auto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82A763A" w14:textId="77777777" w:rsidR="00BD457F" w:rsidRPr="00C50A21" w:rsidRDefault="00BD457F" w:rsidP="00BD457F">
      <w:pPr>
        <w:pBdr>
          <w:bottom w:val="single" w:sz="6" w:space="1" w:color="auto"/>
        </w:pBdr>
        <w:spacing w:after="240" w:line="276" w:lineRule="auto"/>
        <w:rPr>
          <w:rFonts w:asciiTheme="minorHAnsi" w:hAnsiTheme="minorHAnsi" w:cstheme="minorHAnsi"/>
          <w:sz w:val="22"/>
          <w:szCs w:val="22"/>
        </w:rPr>
      </w:pPr>
    </w:p>
    <w:p w14:paraId="4AC96859" w14:textId="60DC5BE7" w:rsidR="00AB5D11" w:rsidRPr="00505D33" w:rsidRDefault="00AB5D11" w:rsidP="00AB5D11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B5D11">
        <w:rPr>
          <w:rFonts w:ascii="Calibri" w:hAnsi="Calibri" w:cs="Calibri"/>
          <w:noProof/>
        </w:rPr>
        <w:drawing>
          <wp:anchor distT="0" distB="0" distL="114300" distR="114300" simplePos="0" relativeHeight="251722752" behindDoc="0" locked="0" layoutInCell="1" allowOverlap="1" wp14:anchorId="2A54810A" wp14:editId="3B2D596E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2190256" cy="828675"/>
            <wp:effectExtent l="0" t="0" r="635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256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D33" w:rsidRPr="00505D33">
        <w:rPr>
          <w:rFonts w:ascii="Book Antiqua" w:hAnsi="Book Antiqua" w:cs="Arial"/>
          <w:b/>
          <w:bCs/>
          <w:color w:val="000000"/>
          <w:sz w:val="24"/>
          <w:szCs w:val="24"/>
        </w:rPr>
        <w:t xml:space="preserve"> </w:t>
      </w:r>
      <w:r w:rsidR="00505D33" w:rsidRPr="00505D33">
        <w:rPr>
          <w:rFonts w:asciiTheme="minorHAnsi" w:hAnsiTheme="minorHAnsi" w:cstheme="minorHAnsi"/>
          <w:b/>
          <w:bCs/>
          <w:color w:val="000000"/>
          <w:sz w:val="22"/>
          <w:szCs w:val="22"/>
        </w:rPr>
        <w:t>Az integritás kiemelt jelentőséggel bír a közbeszerzési eljárások szabályszerű lebonyolításának előmozdításában. Ennek érdekében a Közbeszerzési Hatóság kiterjedt ellenőrzési tevékenységet folytat, mely során vizsgálja a közbeszerzésekkel kapcsolatos hirdetményeket, ellenőrzi a hirdetmény nélküli tárgyalásos eljárások jogszerűségét, valamint a közbeszerzési szerződések teljesítésének megfelelőségét. Előzőek mellett fontos feladat a közbeszerzési eljárások átláthatóságának és az eljárásokkal kapcsolatos információk megismerhetőségének biztosítása is. A szervezet 2021-ben belső eljárási folyamatait szinte teljes egészében digitalizálta, mely nagymértékben elősegíti az integritás alapú működést.</w:t>
      </w:r>
      <w:r w:rsidRPr="00505D3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</w:p>
    <w:p w14:paraId="5ABDE957" w14:textId="77777777" w:rsidR="00AB5D11" w:rsidRPr="00AB5D11" w:rsidRDefault="00AB5D11" w:rsidP="00AB5D11">
      <w:pPr>
        <w:spacing w:line="276" w:lineRule="auto"/>
        <w:rPr>
          <w:rFonts w:ascii="Calibri" w:hAnsi="Calibri" w:cs="Calibri"/>
          <w:bCs/>
          <w:color w:val="000000"/>
          <w:sz w:val="22"/>
          <w:szCs w:val="22"/>
        </w:rPr>
      </w:pPr>
    </w:p>
    <w:p w14:paraId="73286152" w14:textId="77777777" w:rsidR="00505D33" w:rsidRPr="00770102" w:rsidRDefault="00505D33" w:rsidP="00770102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770102">
        <w:rPr>
          <w:rFonts w:asciiTheme="minorHAnsi" w:hAnsiTheme="minorHAnsi" w:cstheme="minorHAnsi"/>
          <w:b/>
          <w:bCs/>
          <w:color w:val="000000"/>
          <w:sz w:val="22"/>
          <w:szCs w:val="22"/>
        </w:rPr>
        <w:t>Minden eddiginél szigorúbb ellenőrzési tevékenység</w:t>
      </w:r>
    </w:p>
    <w:p w14:paraId="4B72E813" w14:textId="77777777" w:rsidR="00505D33" w:rsidRPr="00505D33" w:rsidRDefault="00505D33" w:rsidP="00505D33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A közbeszerzési eljárások törvényességének biztosítása és az esetleges szabálytalanságok megelőzése érdekében a Közbeszerzési Hatóság 2021-ben tovább szigorította ellenőrzési tevékenységeit. A </w:t>
      </w:r>
      <w:r w:rsidRPr="00505D33">
        <w:rPr>
          <w:rFonts w:asciiTheme="minorHAnsi" w:hAnsiTheme="minorHAnsi" w:cstheme="minorHAnsi"/>
          <w:b/>
          <w:bCs/>
          <w:color w:val="000000"/>
          <w:sz w:val="22"/>
          <w:szCs w:val="22"/>
        </w:rPr>
        <w:t>hirdetmények ellenőrzése</w:t>
      </w:r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 a szabálytalanságok, jogsértések megelőzésének legfontosabb eszköze. Közel 24.000 beérkezett hirdetmény esetében – megelőzve ezzel számos jogszerűtlen eljárás lefolytatását – csaknem ugyanennyi szabálytalanságra vonatkozó figyelmeztetés (hiánypótlás) került kiküldésre, amelyek döntő többsége a hirdetményellenőrzési folyamat során korrigálásra került. E körben a Közbeszerzési Hatóság elnöke idén </w:t>
      </w:r>
      <w:r w:rsidRPr="00505D33">
        <w:rPr>
          <w:rFonts w:asciiTheme="minorHAnsi" w:hAnsiTheme="minorHAnsi" w:cstheme="minorHAnsi"/>
          <w:b/>
          <w:bCs/>
          <w:color w:val="000000"/>
          <w:sz w:val="22"/>
          <w:szCs w:val="22"/>
        </w:rPr>
        <w:t>40 jogorvoslatot</w:t>
      </w:r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 indított a Közbeszerzési Döntőbizottság előtt, amely csaknem egyharmaddal több, mint az előző évben. A közbeszerzési eljárások eredményeként megkötött </w:t>
      </w:r>
      <w:r w:rsidRPr="00505D3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szerződések teljesítésének és módosításának ellenőrzését </w:t>
      </w:r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Magyarországon kizárólag a Közbeszerzési Hatóság végzi. 2021-ben a szerződések ellenőrzése minden eddiginél nagyobb hangsúlyt kapott: </w:t>
      </w:r>
      <w:r w:rsidRPr="00505D33">
        <w:rPr>
          <w:rFonts w:asciiTheme="minorHAnsi" w:hAnsiTheme="minorHAnsi" w:cstheme="minorHAnsi"/>
          <w:b/>
          <w:color w:val="000000"/>
          <w:sz w:val="22"/>
          <w:szCs w:val="22"/>
        </w:rPr>
        <w:t>az ellenőrzések száma több, mint 10%-</w:t>
      </w:r>
      <w:proofErr w:type="spellStart"/>
      <w:r w:rsidRPr="00505D33">
        <w:rPr>
          <w:rFonts w:asciiTheme="minorHAnsi" w:hAnsiTheme="minorHAnsi" w:cstheme="minorHAnsi"/>
          <w:b/>
          <w:color w:val="000000"/>
          <w:sz w:val="22"/>
          <w:szCs w:val="22"/>
        </w:rPr>
        <w:t>kal</w:t>
      </w:r>
      <w:proofErr w:type="spellEnd"/>
      <w:r w:rsidRPr="00505D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nőtt</w:t>
      </w:r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. Továbbra is jelentős a Hatóság ellenőrzési tevékenysége alapján hivatalból indított jogorvoslati kezdeményezések száma – 123 szervezet ellen 117 jogorvoslati kérelem került benyújtásra, amely az összes </w:t>
      </w:r>
      <w:proofErr w:type="spellStart"/>
      <w:r w:rsidRPr="00505D33">
        <w:rPr>
          <w:rFonts w:asciiTheme="minorHAnsi" w:hAnsiTheme="minorHAnsi" w:cstheme="minorHAnsi"/>
          <w:color w:val="000000"/>
          <w:sz w:val="22"/>
          <w:szCs w:val="22"/>
        </w:rPr>
        <w:t>hivatalbóli</w:t>
      </w:r>
      <w:proofErr w:type="spellEnd"/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 kezdeményezés több, mint egyharmada.</w:t>
      </w:r>
      <w:r w:rsidRPr="00505D33" w:rsidDel="0003113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6FA9529B" w14:textId="77777777" w:rsidR="00505D33" w:rsidRPr="00505D33" w:rsidRDefault="00505D33" w:rsidP="00505D33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505D3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Célunk a közbeszerzések teljes mértékű átláthatóságának fenntartása </w:t>
      </w:r>
    </w:p>
    <w:p w14:paraId="31220134" w14:textId="77777777" w:rsidR="00505D33" w:rsidRPr="00505D33" w:rsidRDefault="00505D33" w:rsidP="00505D33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505D33">
        <w:rPr>
          <w:rFonts w:asciiTheme="minorHAnsi" w:hAnsiTheme="minorHAnsi" w:cstheme="minorHAnsi"/>
          <w:color w:val="000000"/>
          <w:sz w:val="22"/>
          <w:szCs w:val="22"/>
        </w:rPr>
        <w:t>Az Európai Unió statisztikái évek óta azt mutatják, hogy a magyar közbeszerzési piac csaknem 100%-</w:t>
      </w:r>
      <w:proofErr w:type="spellStart"/>
      <w:r w:rsidRPr="00505D33">
        <w:rPr>
          <w:rFonts w:asciiTheme="minorHAnsi" w:hAnsiTheme="minorHAnsi" w:cstheme="minorHAnsi"/>
          <w:color w:val="000000"/>
          <w:sz w:val="22"/>
          <w:szCs w:val="22"/>
        </w:rPr>
        <w:t>ban</w:t>
      </w:r>
      <w:proofErr w:type="spellEnd"/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 átlátható. Ehhez fontos pillért biztosítanak a Közbeszerzési Hatóság hiteles forrásokon és tisztított adatokon alapuló statisztikái, amelyek tavaly óta – a Központi Statisztikai Hivatal általi akkreditációt követően – az egyetlen hiteles forrásnak tekinthetők a magyar közbeszerzések vonatkozásában. A minél nagyobb transzparencia biztosítása érdekében a Hatóság 2021-ben tovább bővítette az általa feldolgozott adatok körét, valamint ettől az évtől kezdve negyedévente tájékoztatót publikál az aktuális közbeszerzési statisztikákról. A teljes átláthatóságot pedig a szervezet honlapján és mobilapplikációján már külön statisztikai </w:t>
      </w:r>
      <w:proofErr w:type="spellStart"/>
      <w:r w:rsidRPr="00505D33">
        <w:rPr>
          <w:rFonts w:asciiTheme="minorHAnsi" w:hAnsiTheme="minorHAnsi" w:cstheme="minorHAnsi"/>
          <w:color w:val="000000"/>
          <w:sz w:val="22"/>
          <w:szCs w:val="22"/>
        </w:rPr>
        <w:t>aloldal</w:t>
      </w:r>
      <w:proofErr w:type="spellEnd"/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 is biztosítja, ahol folyamatos a közbeszerzésre vonatkozó statisztikák közzététele.</w:t>
      </w:r>
    </w:p>
    <w:p w14:paraId="6D736B7E" w14:textId="77777777" w:rsidR="00505D33" w:rsidRPr="00505D33" w:rsidRDefault="00505D33" w:rsidP="00505D33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505D33">
        <w:rPr>
          <w:rFonts w:asciiTheme="minorHAnsi" w:hAnsiTheme="minorHAnsi" w:cstheme="minorHAnsi"/>
          <w:b/>
          <w:bCs/>
          <w:noProof/>
          <w:color w:val="000000"/>
          <w:sz w:val="22"/>
          <w:szCs w:val="22"/>
        </w:rPr>
        <w:drawing>
          <wp:inline distT="0" distB="0" distL="0" distR="0" wp14:anchorId="23870821" wp14:editId="0ABC1412">
            <wp:extent cx="4865387" cy="3408452"/>
            <wp:effectExtent l="0" t="0" r="0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14" cy="341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DF3E7" w14:textId="77777777" w:rsidR="00505D33" w:rsidRPr="00505D33" w:rsidRDefault="00505D33" w:rsidP="00505D33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505D33">
        <w:rPr>
          <w:rFonts w:asciiTheme="minorHAnsi" w:hAnsiTheme="minorHAnsi" w:cstheme="minorHAnsi"/>
          <w:b/>
          <w:bCs/>
          <w:color w:val="000000"/>
          <w:sz w:val="22"/>
          <w:szCs w:val="22"/>
        </w:rPr>
        <w:t>A verseny biztosított, a versenykorlátozó eljárások száma fokozatosan csökken</w:t>
      </w:r>
    </w:p>
    <w:p w14:paraId="445833B8" w14:textId="77777777" w:rsidR="00505D33" w:rsidRPr="00505D33" w:rsidRDefault="00505D33" w:rsidP="00505D33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505D33">
        <w:rPr>
          <w:rFonts w:asciiTheme="minorHAnsi" w:hAnsiTheme="minorHAnsi" w:cstheme="minorHAnsi"/>
          <w:sz w:val="22"/>
          <w:szCs w:val="22"/>
        </w:rPr>
        <w:t xml:space="preserve">A közbeszerzési eljárások terén továbbra is </w:t>
      </w:r>
      <w:r w:rsidRPr="00505D33">
        <w:rPr>
          <w:rFonts w:asciiTheme="minorHAnsi" w:hAnsiTheme="minorHAnsi" w:cstheme="minorHAnsi"/>
          <w:b/>
          <w:bCs/>
          <w:sz w:val="22"/>
          <w:szCs w:val="22"/>
        </w:rPr>
        <w:t>intenzív versenyhelyzet</w:t>
      </w:r>
      <w:r w:rsidRPr="00505D33">
        <w:rPr>
          <w:rFonts w:asciiTheme="minorHAnsi" w:hAnsiTheme="minorHAnsi" w:cstheme="minorHAnsi"/>
          <w:sz w:val="22"/>
          <w:szCs w:val="22"/>
        </w:rPr>
        <w:t xml:space="preserve"> tapasztalható, amit több tényező is alátámaszt. </w:t>
      </w:r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A Hatóság szigorú ellenőrzési tevékenységének is köszönhetően a </w:t>
      </w:r>
      <w:r w:rsidRPr="00505D33">
        <w:rPr>
          <w:rFonts w:asciiTheme="minorHAnsi" w:hAnsiTheme="minorHAnsi" w:cstheme="minorHAnsi"/>
          <w:b/>
          <w:bCs/>
          <w:color w:val="000000"/>
          <w:sz w:val="22"/>
          <w:szCs w:val="22"/>
        </w:rPr>
        <w:t>hirdetmény nélküli tárgyalásos eljárások</w:t>
      </w:r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 számát már 2020-ra sikerült az </w:t>
      </w:r>
      <w:r w:rsidRPr="00505D33">
        <w:rPr>
          <w:rFonts w:asciiTheme="minorHAnsi" w:hAnsiTheme="minorHAnsi" w:cstheme="minorHAnsi"/>
          <w:b/>
          <w:bCs/>
          <w:color w:val="000000"/>
          <w:sz w:val="22"/>
          <w:szCs w:val="22"/>
        </w:rPr>
        <w:t>uniós élmezőny</w:t>
      </w:r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 szintjére csökkenteni, ezen eljárások száma az elmúlt években csaknem a tizenötödére csökkent. Ez a trend 2021-ben is folytatódott: ez évi kb. 250 eljárást jelent, ami az összes eljárás 2-3%-a. Emellett kiemelendő az </w:t>
      </w:r>
      <w:r w:rsidRPr="00505D3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egyajánlatos eljárások</w:t>
      </w:r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 számának alakulása is: az elmúlt három évben megfigyelhető, hogy ezen eljárások mind számban, mind pedig értéküket tekintve csökkenő tendenciát mutatnak. </w:t>
      </w:r>
    </w:p>
    <w:p w14:paraId="466FBDC3" w14:textId="6BB59700" w:rsidR="00505D33" w:rsidRPr="00505D33" w:rsidRDefault="00505D33" w:rsidP="00505D33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proofErr w:type="spellStart"/>
      <w:r w:rsidRPr="00505D33">
        <w:rPr>
          <w:rFonts w:asciiTheme="minorHAnsi" w:hAnsiTheme="minorHAnsi" w:cstheme="minorHAnsi"/>
          <w:b/>
          <w:bCs/>
          <w:color w:val="000000"/>
          <w:sz w:val="22"/>
          <w:szCs w:val="22"/>
        </w:rPr>
        <w:t>Digitalizáció</w:t>
      </w:r>
      <w:proofErr w:type="spellEnd"/>
    </w:p>
    <w:p w14:paraId="088AC670" w14:textId="77777777" w:rsidR="00505D33" w:rsidRPr="00505D33" w:rsidRDefault="00505D33" w:rsidP="00505D33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Az integritás alapú működést nagyban segíti a belső rendszerek </w:t>
      </w:r>
      <w:proofErr w:type="spellStart"/>
      <w:r w:rsidRPr="00505D33">
        <w:rPr>
          <w:rFonts w:asciiTheme="minorHAnsi" w:hAnsiTheme="minorHAnsi" w:cstheme="minorHAnsi"/>
          <w:color w:val="000000"/>
          <w:sz w:val="22"/>
          <w:szCs w:val="22"/>
        </w:rPr>
        <w:t>digitalizációja</w:t>
      </w:r>
      <w:proofErr w:type="spellEnd"/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, amely 2021-ben a Hatóságnál számos folyamat tekintetében megvalósult. Erre alapvetően nem a jelenlegi járványügyi helyzet, hanem a Közbeszerzési Hatóság integritás iránti magas szintű </w:t>
      </w:r>
      <w:proofErr w:type="spellStart"/>
      <w:r w:rsidRPr="00505D33">
        <w:rPr>
          <w:rFonts w:asciiTheme="minorHAnsi" w:hAnsiTheme="minorHAnsi" w:cstheme="minorHAnsi"/>
          <w:color w:val="000000"/>
          <w:sz w:val="22"/>
          <w:szCs w:val="22"/>
        </w:rPr>
        <w:t>elköteleződése</w:t>
      </w:r>
      <w:proofErr w:type="spellEnd"/>
      <w:r w:rsidRPr="00505D33">
        <w:rPr>
          <w:rFonts w:asciiTheme="minorHAnsi" w:hAnsiTheme="minorHAnsi" w:cstheme="minorHAnsi"/>
          <w:color w:val="000000"/>
          <w:sz w:val="22"/>
          <w:szCs w:val="22"/>
        </w:rPr>
        <w:t xml:space="preserve"> miatt került sor. A közbeszerzési eljárásban részt vevő szakemberek képzése teljes mértékben átkerült az online térbe, amelynek köszönhetően a saját rendezvényeinken – a korábbi évek tapasztalatait lényegesen meghaladva – összesen 2500 szakember képzése valósult meg, mely jelentősen több, mint a tavalyi 1700 fő. A Hatóság különösen fontosnak tartja, hogy képzésein a közbeszerzési szakértők naprakész tájékoztatását kapjanak a felmerült gyakorlati problémákkal kapcsolatosan, amely nagyban hozzájárul a közbeszerzési eljárások szabályos lefolytatásához.</w:t>
      </w:r>
    </w:p>
    <w:p w14:paraId="0AF5E269" w14:textId="77777777" w:rsidR="00BD457F" w:rsidRPr="00AB5D11" w:rsidRDefault="00BD457F" w:rsidP="00BD457F">
      <w:pPr>
        <w:spacing w:after="160" w:line="276" w:lineRule="auto"/>
        <w:jc w:val="left"/>
        <w:rPr>
          <w:rFonts w:ascii="Calibri" w:hAnsi="Calibri" w:cs="Calibri"/>
          <w:sz w:val="22"/>
          <w:szCs w:val="22"/>
        </w:rPr>
      </w:pPr>
      <w:r w:rsidRPr="00AB5D11">
        <w:rPr>
          <w:rFonts w:ascii="Calibri" w:hAnsi="Calibri" w:cs="Calibri"/>
          <w:sz w:val="22"/>
          <w:szCs w:val="22"/>
        </w:rPr>
        <w:br w:type="page"/>
      </w:r>
    </w:p>
    <w:p w14:paraId="168DCFB9" w14:textId="77777777" w:rsidR="00BD457F" w:rsidRPr="00AB5D11" w:rsidRDefault="00BD457F" w:rsidP="00BD457F">
      <w:pPr>
        <w:pBdr>
          <w:bottom w:val="single" w:sz="6" w:space="1" w:color="auto"/>
        </w:pBdr>
        <w:spacing w:line="276" w:lineRule="auto"/>
        <w:rPr>
          <w:rFonts w:ascii="Calibri" w:hAnsi="Calibri" w:cs="Calibri"/>
          <w:sz w:val="22"/>
          <w:szCs w:val="22"/>
          <w:lang w:eastAsia="en-US"/>
        </w:rPr>
      </w:pPr>
    </w:p>
    <w:p w14:paraId="5966AEAB" w14:textId="77777777" w:rsidR="00BD457F" w:rsidRPr="00AB5D11" w:rsidRDefault="00BD457F" w:rsidP="00BD457F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5347B461" w14:textId="77777777" w:rsidR="00BD457F" w:rsidRPr="00AB5D11" w:rsidRDefault="00BD457F" w:rsidP="00BD457F">
      <w:pPr>
        <w:spacing w:after="120" w:line="276" w:lineRule="auto"/>
        <w:ind w:right="-57"/>
        <w:rPr>
          <w:rFonts w:ascii="Calibri" w:hAnsi="Calibri" w:cs="Calibri"/>
          <w:sz w:val="22"/>
          <w:szCs w:val="22"/>
        </w:rPr>
      </w:pPr>
      <w:r w:rsidRPr="00AB5D11">
        <w:rPr>
          <w:rFonts w:ascii="Calibri" w:hAnsi="Calibri" w:cs="Calibri"/>
          <w:b/>
          <w:bCs/>
          <w:noProof/>
          <w:sz w:val="22"/>
          <w:szCs w:val="22"/>
        </w:rPr>
        <w:drawing>
          <wp:anchor distT="0" distB="0" distL="114300" distR="114300" simplePos="0" relativeHeight="251721728" behindDoc="1" locked="0" layoutInCell="1" allowOverlap="1" wp14:anchorId="4CF9F81C" wp14:editId="2CB0309A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189990" cy="1258570"/>
            <wp:effectExtent l="0" t="0" r="0" b="0"/>
            <wp:wrapTight wrapText="bothSides">
              <wp:wrapPolygon edited="0">
                <wp:start x="0" y="0"/>
                <wp:lineTo x="0" y="21251"/>
                <wp:lineTo x="21093" y="21251"/>
                <wp:lineTo x="21093" y="0"/>
                <wp:lineTo x="0" y="0"/>
              </wp:wrapPolygon>
            </wp:wrapTight>
            <wp:docPr id="11" name="Kép 11" descr="kuri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ria-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87866519"/>
      <w:r w:rsidRPr="00AB5D11">
        <w:rPr>
          <w:rFonts w:ascii="Calibri" w:hAnsi="Calibri" w:cs="Calibri"/>
          <w:b/>
          <w:bCs/>
          <w:sz w:val="22"/>
          <w:szCs w:val="22"/>
        </w:rPr>
        <w:t>A Kúria alaptörvényi meghatározottságánál fogva az ítélkezést ellátó általános hatáskörű bíróságok egyike, amely saját ítélkező szintjén egyedüliként működve, az egyedi ügyekben történő igazságszolgáltatás mellett köteles biztosítani a bírósági jogalkalmazás egységességét. A Kúriának ezért szilárdnak, magabiztosnak és megbízhatónak kell lennie.</w:t>
      </w:r>
    </w:p>
    <w:p w14:paraId="00DFDA6A" w14:textId="77777777" w:rsidR="00BD457F" w:rsidRPr="00AB5D11" w:rsidRDefault="00BD457F" w:rsidP="00BD457F">
      <w:pPr>
        <w:spacing w:line="276" w:lineRule="auto"/>
        <w:ind w:right="-57"/>
        <w:rPr>
          <w:rFonts w:ascii="Calibri" w:hAnsi="Calibri" w:cs="Calibri"/>
          <w:sz w:val="22"/>
          <w:szCs w:val="22"/>
        </w:rPr>
      </w:pPr>
      <w:r w:rsidRPr="00AB5D11">
        <w:rPr>
          <w:rFonts w:ascii="Calibri" w:hAnsi="Calibri" w:cs="Calibri"/>
          <w:sz w:val="22"/>
          <w:szCs w:val="22"/>
        </w:rPr>
        <w:t xml:space="preserve">A megbízhatóság egyik feltétele az átlátható, minden illetéktelen befolyástól mentes intézményi működés. A Kúria ezért a korrupcióellenes ügyekben folytatott büntető igazságszolgáltatás és jogegységesítés mellett folyamatosan biztosítja saját bírói és tisztviselői </w:t>
      </w:r>
      <w:proofErr w:type="spellStart"/>
      <w:r w:rsidRPr="00AB5D11">
        <w:rPr>
          <w:rFonts w:ascii="Calibri" w:hAnsi="Calibri" w:cs="Calibri"/>
          <w:sz w:val="22"/>
          <w:szCs w:val="22"/>
        </w:rPr>
        <w:t>karának</w:t>
      </w:r>
      <w:proofErr w:type="spellEnd"/>
      <w:r w:rsidRPr="00AB5D11">
        <w:rPr>
          <w:rFonts w:ascii="Calibri" w:hAnsi="Calibri" w:cs="Calibri"/>
          <w:sz w:val="22"/>
          <w:szCs w:val="22"/>
        </w:rPr>
        <w:t xml:space="preserve">, munkafolyamatainak ellenállóképességét is, és </w:t>
      </w:r>
      <w:r w:rsidRPr="00AB5D11">
        <w:rPr>
          <w:rFonts w:ascii="Calibri" w:hAnsi="Calibri" w:cs="Calibri"/>
          <w:b/>
          <w:bCs/>
          <w:sz w:val="22"/>
          <w:szCs w:val="22"/>
        </w:rPr>
        <w:t xml:space="preserve">kezdettől fogva részt vesz az állami szervek korrupcióellenes együttműködésében. </w:t>
      </w:r>
      <w:r w:rsidRPr="00AB5D11">
        <w:rPr>
          <w:rFonts w:ascii="Calibri" w:hAnsi="Calibri" w:cs="Calibri"/>
          <w:sz w:val="22"/>
          <w:szCs w:val="22"/>
        </w:rPr>
        <w:t xml:space="preserve">Az együttműködést elindító szándéknyilatkozat 2011 decemberi aláírása óta a Kúria jelentős mértékben fejlesztette </w:t>
      </w:r>
      <w:r w:rsidRPr="00AB5D11">
        <w:rPr>
          <w:rFonts w:ascii="Calibri" w:hAnsi="Calibri" w:cs="Calibri"/>
          <w:b/>
          <w:bCs/>
          <w:sz w:val="22"/>
          <w:szCs w:val="22"/>
        </w:rPr>
        <w:t>korrupcióellenes eszköztárát</w:t>
      </w:r>
      <w:r w:rsidRPr="00AB5D11">
        <w:rPr>
          <w:rFonts w:ascii="Calibri" w:hAnsi="Calibri" w:cs="Calibri"/>
          <w:sz w:val="22"/>
          <w:szCs w:val="22"/>
        </w:rPr>
        <w:t xml:space="preserve"> és ehhez kapcsolódóan valamennyi igazgatási munkafolyamat szabályozása megvalósult. </w:t>
      </w:r>
    </w:p>
    <w:p w14:paraId="26CABA93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iCs/>
          <w:sz w:val="22"/>
          <w:szCs w:val="22"/>
        </w:rPr>
      </w:pPr>
      <w:r w:rsidRPr="00AB5D11">
        <w:rPr>
          <w:rFonts w:ascii="Calibri" w:hAnsi="Calibri" w:cs="Calibri"/>
          <w:iCs/>
          <w:sz w:val="22"/>
          <w:szCs w:val="22"/>
        </w:rPr>
        <w:t xml:space="preserve">Az integritással kapcsolatos problémák kezelése - alaptörvényi meghatározottságánál fogva - a </w:t>
      </w:r>
      <w:r w:rsidRPr="00AB5D11">
        <w:rPr>
          <w:rFonts w:ascii="Calibri" w:hAnsi="Calibri" w:cs="Calibri"/>
          <w:b/>
          <w:bCs/>
          <w:iCs/>
          <w:sz w:val="22"/>
          <w:szCs w:val="22"/>
        </w:rPr>
        <w:t>Kúrián alapvetően az igazságszolgáltatási, azon belül pedig elsősorban a büntető ítélkezés</w:t>
      </w:r>
      <w:r w:rsidRPr="00AB5D11">
        <w:rPr>
          <w:rFonts w:ascii="Calibri" w:hAnsi="Calibri" w:cs="Calibri"/>
          <w:iCs/>
          <w:sz w:val="22"/>
          <w:szCs w:val="22"/>
        </w:rPr>
        <w:t xml:space="preserve"> keretén belül valósul meg, ezért alapjaiban tér el az állami szervek által elsősorban a közszférában, azon belül is a közigazgatási dolgozókat és eljárásukat érintő integritást helyzetek kezelésétől. Ennek megfelelően a Kúria elsősorban a büntetőjogi jogkövetkezmények tekintetében foglal állást az integritást sértő cselekményekről. Ide tartozik a korrupcióval</w:t>
      </w:r>
      <w:r w:rsidRPr="00C50A21">
        <w:rPr>
          <w:rFonts w:asciiTheme="minorHAnsi" w:hAnsiTheme="minorHAnsi" w:cstheme="minorHAnsi"/>
          <w:iCs/>
          <w:sz w:val="22"/>
          <w:szCs w:val="22"/>
        </w:rPr>
        <w:t xml:space="preserve"> kapcsolatos ítélkezés, valamint a megbízhatósági vizsgálatra vonatkozó korábbi elvi iránymutatások és annak törvényessége tekintetében határozatok meghozatala. Ezen határozatokat az integritás kockázatok kezelésével foglalkozó társszervek számára a Kúria rendszeresen rendelkezésre bocsátja. </w:t>
      </w:r>
    </w:p>
    <w:bookmarkEnd w:id="1"/>
    <w:p w14:paraId="4A64575E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iCs/>
          <w:sz w:val="22"/>
          <w:szCs w:val="22"/>
        </w:rPr>
      </w:pPr>
      <w:r w:rsidRPr="00C50A21">
        <w:rPr>
          <w:rFonts w:asciiTheme="minorHAnsi" w:hAnsiTheme="minorHAnsi" w:cstheme="minorHAnsi"/>
          <w:iCs/>
          <w:sz w:val="22"/>
          <w:szCs w:val="22"/>
        </w:rPr>
        <w:t xml:space="preserve">Minthogy a </w:t>
      </w:r>
      <w:r w:rsidRPr="00C50A21">
        <w:rPr>
          <w:rFonts w:asciiTheme="minorHAnsi" w:hAnsiTheme="minorHAnsi" w:cstheme="minorHAnsi"/>
          <w:b/>
          <w:bCs/>
          <w:iCs/>
          <w:sz w:val="22"/>
          <w:szCs w:val="22"/>
        </w:rPr>
        <w:t>büntetőjog a személyes felelősség</w:t>
      </w:r>
      <w:r w:rsidRPr="00C50A21">
        <w:rPr>
          <w:rFonts w:asciiTheme="minorHAnsi" w:hAnsiTheme="minorHAnsi" w:cstheme="minorHAnsi"/>
          <w:iCs/>
          <w:sz w:val="22"/>
          <w:szCs w:val="22"/>
        </w:rPr>
        <w:t>, azaz az alanyi bűnfelelősség elvén alapul, így korrupció csak bizonyított bűncselekmény esetén állapítható meg. A Kúria ily módon és elsősorban a felderített és alsóbb fokú bíróságok által már elbírált bűncselekmények vonatkozásában fejti ki álláspontját. Ezt tükrözik a Kúria ítélkezésében, az eseti döntésekben és iránymutatásokban a korrupciós, valamint az ahhoz jellegében nagyon hasonló bűncselekmények megítélése. Mivel a Kúria elsődleges alkotmányos feladata a jogegység biztosítása, ezért az integritást érintő cselekmények és események kapcsán is ez feladata és célja.</w:t>
      </w:r>
    </w:p>
    <w:p w14:paraId="06789ECF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iCs/>
          <w:sz w:val="22"/>
          <w:szCs w:val="22"/>
        </w:rPr>
      </w:pPr>
      <w:r w:rsidRPr="00C50A21">
        <w:rPr>
          <w:rFonts w:asciiTheme="minorHAnsi" w:hAnsiTheme="minorHAnsi" w:cstheme="minorHAnsi"/>
          <w:iCs/>
          <w:sz w:val="22"/>
          <w:szCs w:val="22"/>
        </w:rPr>
        <w:t xml:space="preserve">A vizsgált kérdések közül kiemelt jelentőségű az ún. </w:t>
      </w:r>
      <w:proofErr w:type="gramStart"/>
      <w:r w:rsidRPr="00C50A21">
        <w:rPr>
          <w:rFonts w:asciiTheme="minorHAnsi" w:hAnsiTheme="minorHAnsi" w:cstheme="minorHAnsi"/>
          <w:b/>
          <w:bCs/>
          <w:iCs/>
          <w:sz w:val="22"/>
          <w:szCs w:val="22"/>
        </w:rPr>
        <w:t>megbízhatósági</w:t>
      </w:r>
      <w:proofErr w:type="gramEnd"/>
      <w:r w:rsidRPr="00C50A21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vizsgálat</w:t>
      </w:r>
      <w:r w:rsidRPr="00C50A21">
        <w:rPr>
          <w:rFonts w:asciiTheme="minorHAnsi" w:hAnsiTheme="minorHAnsi" w:cstheme="minorHAnsi"/>
          <w:iCs/>
          <w:sz w:val="22"/>
          <w:szCs w:val="22"/>
        </w:rPr>
        <w:t xml:space="preserve">, mint a megelőzés elsődleges eszközének </w:t>
      </w:r>
      <w:proofErr w:type="spellStart"/>
      <w:r w:rsidRPr="00C50A21">
        <w:rPr>
          <w:rFonts w:asciiTheme="minorHAnsi" w:hAnsiTheme="minorHAnsi" w:cstheme="minorHAnsi"/>
          <w:iCs/>
          <w:sz w:val="22"/>
          <w:szCs w:val="22"/>
        </w:rPr>
        <w:t>monitorozása</w:t>
      </w:r>
      <w:proofErr w:type="spellEnd"/>
      <w:r w:rsidRPr="00C50A21">
        <w:rPr>
          <w:rFonts w:asciiTheme="minorHAnsi" w:hAnsiTheme="minorHAnsi" w:cstheme="minorHAnsi"/>
          <w:iCs/>
          <w:sz w:val="22"/>
          <w:szCs w:val="22"/>
        </w:rPr>
        <w:t xml:space="preserve"> a harmadfokú, valamint a felülvizsgálati eljárások során. Az alsóbb fokú bíróságokon kialakult eltérő álláspontokra figyelemmel </w:t>
      </w:r>
      <w:proofErr w:type="gramStart"/>
      <w:r w:rsidRPr="00C50A21">
        <w:rPr>
          <w:rFonts w:asciiTheme="minorHAnsi" w:hAnsiTheme="minorHAnsi" w:cstheme="minorHAnsi"/>
          <w:iCs/>
          <w:sz w:val="22"/>
          <w:szCs w:val="22"/>
        </w:rPr>
        <w:t>ezen</w:t>
      </w:r>
      <w:proofErr w:type="gramEnd"/>
      <w:r w:rsidRPr="00C50A21">
        <w:rPr>
          <w:rFonts w:asciiTheme="minorHAnsi" w:hAnsiTheme="minorHAnsi" w:cstheme="minorHAnsi"/>
          <w:iCs/>
          <w:sz w:val="22"/>
          <w:szCs w:val="22"/>
        </w:rPr>
        <w:t xml:space="preserve"> jogintézmény kapcsán kiemelt jelentősége van a joggyakorlat egységesítésének és nem utolsósorban az Emberi Jogok Európai Bírósága gyakorlata értelmezésének. Ez elsősorban az alábbi kérdésekre terjed ki: a törvénytelen hatósági felbujtás, a döntési szabadság biztosítása, a bizonyítékok törvényességének vizsgálata, a végrehajtási terv kereteinek értelmezése, valamint annak vizsgálata, hogy minden esetben szükséges-e a büntetőeljárás és a büntetőjogi szankció.</w:t>
      </w:r>
    </w:p>
    <w:p w14:paraId="5C712B56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 Kúria a nem szorosan az ítélkezéssel összefüggő tevékenységei esetében is vizsgálja és kezeli a szervezeti integritás kérdését. </w:t>
      </w:r>
      <w:r w:rsidRPr="00C50A21">
        <w:rPr>
          <w:rFonts w:asciiTheme="minorHAnsi" w:hAnsiTheme="minorHAnsi" w:cstheme="minorHAnsi"/>
          <w:b/>
          <w:bCs/>
          <w:sz w:val="22"/>
          <w:szCs w:val="22"/>
        </w:rPr>
        <w:t>A szervezeti integritást erősítő megoldások elnöki utasítások</w:t>
      </w:r>
      <w:r w:rsidRPr="00C50A21">
        <w:rPr>
          <w:rFonts w:asciiTheme="minorHAnsi" w:hAnsiTheme="minorHAnsi" w:cstheme="minorHAnsi"/>
          <w:sz w:val="22"/>
          <w:szCs w:val="22"/>
        </w:rPr>
        <w:t xml:space="preserve"> formájában találhatók meg. Ide tartozik a Kúria „Integritás Szabályzata”, az „Integrált Kockázatkezelés Eljárásrendje”, valamint „A Szervezeti Integritást Sértő Események Kezelésének Eljárásrendje”. </w:t>
      </w:r>
    </w:p>
    <w:p w14:paraId="7C986EA9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iCs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 Kúria </w:t>
      </w:r>
      <w:r w:rsidRPr="00C50A21">
        <w:rPr>
          <w:rFonts w:asciiTheme="minorHAnsi" w:hAnsiTheme="minorHAnsi" w:cstheme="minorHAnsi"/>
          <w:b/>
          <w:bCs/>
          <w:sz w:val="22"/>
          <w:szCs w:val="22"/>
        </w:rPr>
        <w:t>Kockázatkezelési Munkacsoportja</w:t>
      </w:r>
      <w:r w:rsidRPr="00C50A21">
        <w:rPr>
          <w:rFonts w:asciiTheme="minorHAnsi" w:hAnsiTheme="minorHAnsi" w:cstheme="minorHAnsi"/>
          <w:sz w:val="22"/>
          <w:szCs w:val="22"/>
        </w:rPr>
        <w:t xml:space="preserve"> és az </w:t>
      </w:r>
      <w:r w:rsidRPr="00C50A21">
        <w:rPr>
          <w:rFonts w:asciiTheme="minorHAnsi" w:hAnsiTheme="minorHAnsi" w:cstheme="minorHAnsi"/>
          <w:b/>
          <w:bCs/>
          <w:sz w:val="22"/>
          <w:szCs w:val="22"/>
        </w:rPr>
        <w:t>integritásfelelőse</w:t>
      </w:r>
      <w:r w:rsidRPr="00C50A21">
        <w:rPr>
          <w:rFonts w:asciiTheme="minorHAnsi" w:hAnsiTheme="minorHAnsi" w:cstheme="minorHAnsi"/>
          <w:sz w:val="22"/>
          <w:szCs w:val="22"/>
        </w:rPr>
        <w:t xml:space="preserve"> folyamatosan aktív, javaslataik intézkedéseket alapoznak meg.</w:t>
      </w:r>
      <w:r w:rsidRPr="00C50A21">
        <w:rPr>
          <w:rFonts w:asciiTheme="minorHAnsi" w:hAnsiTheme="minorHAnsi" w:cstheme="minorHAnsi"/>
          <w:iCs/>
          <w:sz w:val="22"/>
          <w:szCs w:val="22"/>
        </w:rPr>
        <w:t xml:space="preserve"> A Kúrián évek óta, féléves rendszerességgel ülésezik a Kockázatkezelési Munkacsoport a bírósági működés során jelentkező kockázatok teljes körű számbavétele, integrált kezelése és hatékony megoldási javaslatok kidolgozása érdekében, amelyek megvalósulását folyamatosan figyelemmel kíséri.</w:t>
      </w:r>
    </w:p>
    <w:p w14:paraId="7EDA4339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iCs/>
          <w:sz w:val="22"/>
          <w:szCs w:val="22"/>
        </w:rPr>
      </w:pPr>
      <w:r w:rsidRPr="00C50A21">
        <w:rPr>
          <w:rFonts w:asciiTheme="minorHAnsi" w:hAnsiTheme="minorHAnsi" w:cstheme="minorHAnsi"/>
          <w:iCs/>
          <w:sz w:val="22"/>
          <w:szCs w:val="22"/>
        </w:rPr>
        <w:t xml:space="preserve">A Kúria integritásfelelőse tevékenységéről minden évben a Kúria Elnökének </w:t>
      </w:r>
      <w:r w:rsidRPr="00C50A21">
        <w:rPr>
          <w:rFonts w:asciiTheme="minorHAnsi" w:hAnsiTheme="minorHAnsi" w:cstheme="minorHAnsi"/>
          <w:b/>
          <w:bCs/>
          <w:iCs/>
          <w:sz w:val="22"/>
          <w:szCs w:val="22"/>
        </w:rPr>
        <w:t>beszámolót</w:t>
      </w:r>
      <w:r w:rsidRPr="00C50A21">
        <w:rPr>
          <w:rFonts w:asciiTheme="minorHAnsi" w:hAnsiTheme="minorHAnsi" w:cstheme="minorHAnsi"/>
          <w:iCs/>
          <w:sz w:val="22"/>
          <w:szCs w:val="22"/>
        </w:rPr>
        <w:t xml:space="preserve"> készít. A Kúria integritással foglalkozó munkatársai rendszeresen részt vesznek az Állami Számvevőszék integritás tárgyú rendezvényein. </w:t>
      </w:r>
    </w:p>
    <w:p w14:paraId="1651EF66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iCs/>
          <w:sz w:val="22"/>
          <w:szCs w:val="22"/>
        </w:rPr>
      </w:pPr>
      <w:r w:rsidRPr="00C50A21">
        <w:rPr>
          <w:rFonts w:asciiTheme="minorHAnsi" w:hAnsiTheme="minorHAnsi" w:cstheme="minorHAnsi"/>
          <w:iCs/>
          <w:sz w:val="22"/>
          <w:szCs w:val="22"/>
        </w:rPr>
        <w:t xml:space="preserve">A személyes adatoknak az európai uniós </w:t>
      </w:r>
      <w:proofErr w:type="spellStart"/>
      <w:r w:rsidRPr="00C50A21">
        <w:rPr>
          <w:rFonts w:asciiTheme="minorHAnsi" w:hAnsiTheme="minorHAnsi" w:cstheme="minorHAnsi"/>
          <w:iCs/>
          <w:sz w:val="22"/>
          <w:szCs w:val="22"/>
        </w:rPr>
        <w:t>adatvédelmi</w:t>
      </w:r>
      <w:proofErr w:type="spellEnd"/>
      <w:r w:rsidRPr="00C50A21">
        <w:rPr>
          <w:rFonts w:asciiTheme="minorHAnsi" w:hAnsiTheme="minorHAnsi" w:cstheme="minorHAnsi"/>
          <w:iCs/>
          <w:sz w:val="22"/>
          <w:szCs w:val="22"/>
        </w:rPr>
        <w:t xml:space="preserve"> rendelet (GDPR) rendelkezéseinek megfelelő védelme céljából, az </w:t>
      </w:r>
      <w:proofErr w:type="spellStart"/>
      <w:r w:rsidRPr="00C50A21">
        <w:rPr>
          <w:rFonts w:asciiTheme="minorHAnsi" w:hAnsiTheme="minorHAnsi" w:cstheme="minorHAnsi"/>
          <w:b/>
          <w:bCs/>
          <w:iCs/>
          <w:sz w:val="22"/>
          <w:szCs w:val="22"/>
        </w:rPr>
        <w:t>adatvédelmi</w:t>
      </w:r>
      <w:proofErr w:type="spellEnd"/>
      <w:r w:rsidRPr="00C50A21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tudatosság</w:t>
      </w:r>
      <w:r w:rsidRPr="00C50A21">
        <w:rPr>
          <w:rFonts w:asciiTheme="minorHAnsi" w:hAnsiTheme="minorHAnsi" w:cstheme="minorHAnsi"/>
          <w:iCs/>
          <w:sz w:val="22"/>
          <w:szCs w:val="22"/>
        </w:rPr>
        <w:t xml:space="preserve"> erősítése érdekében a bírák és az igazságügyi alkalmazottak képzésen vettek részt. A Kúrián </w:t>
      </w:r>
      <w:proofErr w:type="spellStart"/>
      <w:r w:rsidRPr="00C50A21">
        <w:rPr>
          <w:rFonts w:asciiTheme="minorHAnsi" w:hAnsiTheme="minorHAnsi" w:cstheme="minorHAnsi"/>
          <w:iCs/>
          <w:sz w:val="22"/>
          <w:szCs w:val="22"/>
        </w:rPr>
        <w:t>adatvédelmi</w:t>
      </w:r>
      <w:proofErr w:type="spellEnd"/>
      <w:r w:rsidRPr="00C50A21">
        <w:rPr>
          <w:rFonts w:asciiTheme="minorHAnsi" w:hAnsiTheme="minorHAnsi" w:cstheme="minorHAnsi"/>
          <w:iCs/>
          <w:sz w:val="22"/>
          <w:szCs w:val="22"/>
        </w:rPr>
        <w:t xml:space="preserve"> felelős működik, elkészült az adatkezelési nyilvántartás, az </w:t>
      </w:r>
      <w:proofErr w:type="spellStart"/>
      <w:r w:rsidRPr="00C50A21">
        <w:rPr>
          <w:rFonts w:asciiTheme="minorHAnsi" w:hAnsiTheme="minorHAnsi" w:cstheme="minorHAnsi"/>
          <w:iCs/>
          <w:sz w:val="22"/>
          <w:szCs w:val="22"/>
        </w:rPr>
        <w:t>adatvédelmi</w:t>
      </w:r>
      <w:proofErr w:type="spellEnd"/>
      <w:r w:rsidRPr="00C50A21">
        <w:rPr>
          <w:rFonts w:asciiTheme="minorHAnsi" w:hAnsiTheme="minorHAnsi" w:cstheme="minorHAnsi"/>
          <w:iCs/>
          <w:sz w:val="22"/>
          <w:szCs w:val="22"/>
        </w:rPr>
        <w:t xml:space="preserve"> és adatkezelési szabályzat, az incidenskezelési eljárásrend, belső adatkezelési tájékoztató, érdekmérlegelési tesztek, valamint hozzájáruló nyilatkozat minták. A Kúria biztonságtudatossági képzéseket szervezett. A fokozott adatbiztonságot szolgáló informatikai fejlesztések megvalósultak.</w:t>
      </w:r>
    </w:p>
    <w:p w14:paraId="6059E21C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 Kúria elnöke 2020. március 16-án az új koronavírus okozta válsághelyzet hatékony és gyors kezelése érdekében </w:t>
      </w:r>
      <w:r w:rsidRPr="00C50A21">
        <w:rPr>
          <w:rFonts w:asciiTheme="minorHAnsi" w:hAnsiTheme="minorHAnsi" w:cstheme="minorHAnsi"/>
          <w:b/>
          <w:bCs/>
          <w:sz w:val="22"/>
          <w:szCs w:val="22"/>
        </w:rPr>
        <w:t>Válságstábot</w:t>
      </w:r>
      <w:r w:rsidRPr="00C50A21">
        <w:rPr>
          <w:rFonts w:asciiTheme="minorHAnsi" w:hAnsiTheme="minorHAnsi" w:cstheme="minorHAnsi"/>
          <w:sz w:val="22"/>
          <w:szCs w:val="22"/>
        </w:rPr>
        <w:t xml:space="preserve"> hozott létre, mely azóta folyamatosan működik. A Kúria elnöke a járványügyi helyzet időtartama alatt ellátandó bírósági igazgatási, ügyintézési és ügyviteli feladatok teljesítése, valamint a Kúria bírói és igazságügyi alkalmazottai egészségügyi állapotának megóvása érdekében megalkotta és a járványügyi helyzethez képest mindenkor aktualizálta az új koronavírus által okozott járványügyi helyzetben szükséges intézkedésekről szóló elnöki utasítását.</w:t>
      </w:r>
    </w:p>
    <w:p w14:paraId="73444601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iCs/>
          <w:sz w:val="22"/>
          <w:szCs w:val="22"/>
        </w:rPr>
      </w:pPr>
      <w:r w:rsidRPr="00C50A21">
        <w:rPr>
          <w:rFonts w:asciiTheme="minorHAnsi" w:hAnsiTheme="minorHAnsi" w:cstheme="minorHAnsi"/>
          <w:iCs/>
          <w:sz w:val="22"/>
          <w:szCs w:val="22"/>
        </w:rPr>
        <w:t xml:space="preserve">A koronavírus járvány jelentős többlet terhet okozott az </w:t>
      </w:r>
      <w:r w:rsidRPr="00C50A21">
        <w:rPr>
          <w:rFonts w:asciiTheme="minorHAnsi" w:hAnsiTheme="minorHAnsi" w:cstheme="minorHAnsi"/>
          <w:b/>
          <w:bCs/>
          <w:iCs/>
          <w:sz w:val="22"/>
          <w:szCs w:val="22"/>
        </w:rPr>
        <w:t>Informatikai Osztálynak.</w:t>
      </w:r>
      <w:r w:rsidRPr="00C50A21">
        <w:rPr>
          <w:rFonts w:asciiTheme="minorHAnsi" w:hAnsiTheme="minorHAnsi" w:cstheme="minorHAnsi"/>
          <w:iCs/>
          <w:sz w:val="22"/>
          <w:szCs w:val="22"/>
        </w:rPr>
        <w:t xml:space="preserve"> Az informatikai rendszerek folyamatos és biztonságos üzemeltetését és integritását szolgálja egyrészt a folyamatos karbantartás és a Kúria Informatikai Biztonsági Szabályzatában foglalt előírások betartásának ellenőrzése. </w:t>
      </w:r>
    </w:p>
    <w:p w14:paraId="1D3E7B8B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iCs/>
          <w:sz w:val="22"/>
          <w:szCs w:val="22"/>
        </w:rPr>
      </w:pPr>
      <w:r w:rsidRPr="00C50A21">
        <w:rPr>
          <w:rFonts w:asciiTheme="minorHAnsi" w:hAnsiTheme="minorHAnsi" w:cstheme="minorHAnsi"/>
          <w:iCs/>
          <w:sz w:val="22"/>
          <w:szCs w:val="22"/>
        </w:rPr>
        <w:t xml:space="preserve">A </w:t>
      </w:r>
      <w:r w:rsidRPr="00C50A21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Kúria rendszeresen </w:t>
      </w:r>
      <w:proofErr w:type="gramStart"/>
      <w:r w:rsidRPr="00C50A21">
        <w:rPr>
          <w:rFonts w:asciiTheme="minorHAnsi" w:hAnsiTheme="minorHAnsi" w:cstheme="minorHAnsi"/>
          <w:b/>
          <w:bCs/>
          <w:iCs/>
          <w:sz w:val="22"/>
          <w:szCs w:val="22"/>
        </w:rPr>
        <w:t>felülvizsgálja</w:t>
      </w:r>
      <w:proofErr w:type="gramEnd"/>
      <w:r w:rsidRPr="00C50A21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és szükség esetén módosítja a hatályban lévő szabályzatait.</w:t>
      </w:r>
      <w:r w:rsidRPr="00C50A21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C50A21">
        <w:rPr>
          <w:rFonts w:asciiTheme="minorHAnsi" w:hAnsiTheme="minorHAnsi" w:cstheme="minorHAnsi"/>
          <w:sz w:val="22"/>
          <w:szCs w:val="22"/>
        </w:rPr>
        <w:t xml:space="preserve">A Kúria </w:t>
      </w:r>
      <w:r w:rsidRPr="00C50A21">
        <w:rPr>
          <w:rFonts w:asciiTheme="minorHAnsi" w:hAnsiTheme="minorHAnsi" w:cstheme="minorHAnsi"/>
          <w:iCs/>
          <w:sz w:val="22"/>
          <w:szCs w:val="22"/>
        </w:rPr>
        <w:t>Szervezeti és Működési Szabályzata 2021-ben megújult, és módosításra került számos gazdálkodást érintő szabályzat is.”</w:t>
      </w:r>
    </w:p>
    <w:p w14:paraId="15FB9FF4" w14:textId="01163B9F" w:rsidR="00BD457F" w:rsidRPr="00C50A21" w:rsidRDefault="00BD457F" w:rsidP="00BD457F">
      <w:pPr>
        <w:pBdr>
          <w:bottom w:val="single" w:sz="6" w:space="1" w:color="auto"/>
        </w:pBd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b/>
          <w:spacing w:val="-4"/>
          <w:sz w:val="22"/>
          <w:szCs w:val="22"/>
        </w:rPr>
        <w:br w:type="page"/>
      </w:r>
    </w:p>
    <w:p w14:paraId="713403E4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19680" behindDoc="0" locked="0" layoutInCell="1" allowOverlap="1" wp14:anchorId="606F7EFD" wp14:editId="3067A600">
            <wp:simplePos x="0" y="0"/>
            <wp:positionH relativeFrom="margin">
              <wp:posOffset>-29210</wp:posOffset>
            </wp:positionH>
            <wp:positionV relativeFrom="paragraph">
              <wp:posOffset>187960</wp:posOffset>
            </wp:positionV>
            <wp:extent cx="1826895" cy="1409700"/>
            <wp:effectExtent l="0" t="0" r="1905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4121" w14:textId="77777777" w:rsidR="00BD457F" w:rsidRPr="00A0614A" w:rsidRDefault="00BD457F" w:rsidP="00BD457F">
      <w:pPr>
        <w:spacing w:after="12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A0614A">
        <w:rPr>
          <w:rFonts w:asciiTheme="minorHAnsi" w:hAnsiTheme="minorHAnsi" w:cstheme="minorHAnsi"/>
          <w:b/>
          <w:bCs/>
          <w:sz w:val="22"/>
          <w:szCs w:val="22"/>
        </w:rPr>
        <w:t xml:space="preserve">Magyarország Ügyészsége – a jogi és technikai újításoknak köszönhetően – az elmúlt időszakban </w:t>
      </w:r>
      <w:r w:rsidRPr="00A0614A">
        <w:rPr>
          <w:rFonts w:asciiTheme="minorHAnsi" w:hAnsiTheme="minorHAnsi" w:cstheme="minorHAnsi"/>
          <w:b/>
          <w:bCs/>
          <w:i/>
          <w:sz w:val="22"/>
          <w:szCs w:val="22"/>
        </w:rPr>
        <w:t>a világjárvány ellenére is hatékonyan működött</w:t>
      </w:r>
      <w:r w:rsidRPr="00A0614A">
        <w:rPr>
          <w:rFonts w:asciiTheme="minorHAnsi" w:hAnsiTheme="minorHAnsi" w:cstheme="minorHAnsi"/>
          <w:b/>
          <w:bCs/>
          <w:sz w:val="22"/>
          <w:szCs w:val="22"/>
        </w:rPr>
        <w:t>. A 2020 márciusában bevezetett veszélyhelyzet a büntetőeljárási törvényben foglaltaktól eltérő eljárásjogi szabályokat határozott meg. Az ügyészség szerepe rendkívüli módon felértékelődött, hiszen nem csupán a vádat képviselte a bíróság előtt, vagy a nyomozás felügyeletét látta el, hanem aktívan segítette az eljárások gyors és járványügyi szempontból minél kevesebb kockázatot jelentő befejezését.</w:t>
      </w:r>
    </w:p>
    <w:p w14:paraId="007D8036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 közélet tisztasáságáért tett első közös szándéknyilatkozat óta eltelt egy évtizedben – így a járvánnyal terhelt elmúlt évben is </w:t>
      </w:r>
      <w:r w:rsidRPr="00C50A21">
        <w:rPr>
          <w:rFonts w:asciiTheme="minorHAnsi" w:hAnsiTheme="minorHAnsi" w:cstheme="minorHAnsi"/>
          <w:i/>
          <w:sz w:val="22"/>
          <w:szCs w:val="22"/>
        </w:rPr>
        <w:t>– töretlen az ügyészség elkötelezettsége a korrupció elleni küzdelemben.</w:t>
      </w:r>
      <w:r w:rsidRPr="00C50A21">
        <w:rPr>
          <w:rFonts w:asciiTheme="minorHAnsi" w:hAnsiTheme="minorHAnsi" w:cstheme="minorHAnsi"/>
          <w:sz w:val="22"/>
          <w:szCs w:val="22"/>
        </w:rPr>
        <w:t xml:space="preserve"> A Központi Nyomozó Főügyészség szerepe e területen még hangsúlyosabbá vált, hiszen az új Be. hatálybalépésével valamennyi hivatali korrupciós bűncselekmény nyomozása ügyészségi hatáskörbe került. Az ügyészség szorosan együttműködik az </w:t>
      </w:r>
      <w:proofErr w:type="gramStart"/>
      <w:r w:rsidRPr="00C50A21">
        <w:rPr>
          <w:rFonts w:asciiTheme="minorHAnsi" w:hAnsiTheme="minorHAnsi" w:cstheme="minorHAnsi"/>
          <w:sz w:val="22"/>
          <w:szCs w:val="22"/>
        </w:rPr>
        <w:t>ezen</w:t>
      </w:r>
      <w:proofErr w:type="gramEnd"/>
      <w:r w:rsidRPr="00C50A21">
        <w:rPr>
          <w:rFonts w:asciiTheme="minorHAnsi" w:hAnsiTheme="minorHAnsi" w:cstheme="minorHAnsi"/>
          <w:sz w:val="22"/>
          <w:szCs w:val="22"/>
        </w:rPr>
        <w:t xml:space="preserve"> bűncselekmények felderítésére hivatott hatóságokkal, így különösen a Nemzeti Védelmi Szolgálattal. A kialakult hatékony eszközrendszer – amely tovább gyarapodott a megbízhatósági vizsgálat körének kiszélesítésével – nagyban hozzájárult az eredményes hatósági fellépéshez. </w:t>
      </w:r>
    </w:p>
    <w:p w14:paraId="69AC3669" w14:textId="77777777" w:rsidR="00BD457F" w:rsidRPr="00C50A21" w:rsidRDefault="00BD457F" w:rsidP="00BD457F">
      <w:pPr>
        <w:pStyle w:val="Norm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sz w:val="22"/>
          <w:szCs w:val="22"/>
        </w:rPr>
      </w:pPr>
      <w:r w:rsidRPr="00C50A21">
        <w:rPr>
          <w:rFonts w:asciiTheme="minorHAnsi" w:hAnsiTheme="minorHAnsi" w:cstheme="minorHAnsi"/>
          <w:i/>
          <w:sz w:val="22"/>
          <w:szCs w:val="22"/>
        </w:rPr>
        <w:t>A magyar ügyészség nemzetközi színtéren is fontos szerepet vállal a korrupció elleni küzdelemben.</w:t>
      </w:r>
    </w:p>
    <w:p w14:paraId="0EB04D17" w14:textId="77777777" w:rsidR="00BD457F" w:rsidRPr="00C50A21" w:rsidRDefault="00BD457F" w:rsidP="00BD457F">
      <w:pPr>
        <w:pStyle w:val="Norm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 gazdasági bűncselekményekhez korrupciós bűncselekmények is kapcsolódhatnak. Emiatt is kiemelten fontos, hogy a szervezetünk – mind vezetői, mind szakértői szinten – továbbra is szorosan együttműködik az </w:t>
      </w:r>
      <w:r w:rsidRPr="00C50A21">
        <w:rPr>
          <w:rFonts w:asciiTheme="minorHAnsi" w:hAnsiTheme="minorHAnsi" w:cstheme="minorHAnsi"/>
          <w:i/>
          <w:sz w:val="22"/>
          <w:szCs w:val="22"/>
        </w:rPr>
        <w:t>OLAF</w:t>
      </w:r>
      <w:r w:rsidRPr="00C50A21">
        <w:rPr>
          <w:rFonts w:asciiTheme="minorHAnsi" w:hAnsiTheme="minorHAnsi" w:cstheme="minorHAnsi"/>
          <w:sz w:val="22"/>
          <w:szCs w:val="22"/>
        </w:rPr>
        <w:t xml:space="preserve">-fal, mint az uniós pénzekkel összefüggő adminisztratív szabálytalanságokat vizsgáló uniós szervezettel. </w:t>
      </w:r>
    </w:p>
    <w:p w14:paraId="1C8A1C5C" w14:textId="77777777" w:rsidR="00BD457F" w:rsidRPr="00C50A21" w:rsidRDefault="00BD457F" w:rsidP="00BD457F">
      <w:pPr>
        <w:pStyle w:val="Norm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>A magyar ügyészség – bár erre nincs törvényi kötelezettsége – a mindig követett protokoll szerint az OLAF igazságügyi ajánlása nyomán valamennyi esetben elrendelte a nyomozást, illetve amennyiben már folyamatban volt a nyomozás, az OLAF ajánlását a nyomozás irataihoz csatolták és abban értékelték. Az OLAF 2020-ra vonatkozó éves jelentéséből kitűnik, hogy a magyar ügyészség az OLAF ügyek 67 %-</w:t>
      </w:r>
      <w:proofErr w:type="spellStart"/>
      <w:r w:rsidRPr="00C50A21">
        <w:rPr>
          <w:rFonts w:asciiTheme="minorHAnsi" w:hAnsiTheme="minorHAnsi" w:cstheme="minorHAnsi"/>
          <w:sz w:val="22"/>
          <w:szCs w:val="22"/>
        </w:rPr>
        <w:t>ában</w:t>
      </w:r>
      <w:proofErr w:type="spellEnd"/>
      <w:r w:rsidRPr="00C50A21">
        <w:rPr>
          <w:rFonts w:asciiTheme="minorHAnsi" w:hAnsiTheme="minorHAnsi" w:cstheme="minorHAnsi"/>
          <w:sz w:val="22"/>
          <w:szCs w:val="22"/>
        </w:rPr>
        <w:t xml:space="preserve"> emelt vádat. Ez a szám kimagasló eredmény, hiszen közel a duplája a 37 %-</w:t>
      </w:r>
      <w:proofErr w:type="spellStart"/>
      <w:r w:rsidRPr="00C50A21">
        <w:rPr>
          <w:rFonts w:asciiTheme="minorHAnsi" w:hAnsiTheme="minorHAnsi" w:cstheme="minorHAnsi"/>
          <w:sz w:val="22"/>
          <w:szCs w:val="22"/>
        </w:rPr>
        <w:t>os</w:t>
      </w:r>
      <w:proofErr w:type="spellEnd"/>
      <w:r w:rsidRPr="00C50A21">
        <w:rPr>
          <w:rFonts w:asciiTheme="minorHAnsi" w:hAnsiTheme="minorHAnsi" w:cstheme="minorHAnsi"/>
          <w:sz w:val="22"/>
          <w:szCs w:val="22"/>
        </w:rPr>
        <w:t xml:space="preserve"> uniós átlagnak. </w:t>
      </w:r>
    </w:p>
    <w:p w14:paraId="796EC751" w14:textId="77777777" w:rsidR="00BD457F" w:rsidRPr="00C50A21" w:rsidRDefault="00BD457F" w:rsidP="00BD457F">
      <w:pPr>
        <w:pStyle w:val="Norm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Az igazságügyi ajánlások száma egyébként évről évre csökken: 2016-ban 10, 2017-ben 6, 2018-ban 4, 2019-ben 3, míg 2020-ban 2 ajánlás érkezett. </w:t>
      </w:r>
    </w:p>
    <w:p w14:paraId="29E15CB9" w14:textId="77777777" w:rsidR="00BD457F" w:rsidRPr="00C50A21" w:rsidRDefault="00BD457F" w:rsidP="00BD457F">
      <w:pPr>
        <w:pStyle w:val="Norm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Dr. Polt Péter legfőbb ügyész és </w:t>
      </w:r>
      <w:proofErr w:type="spellStart"/>
      <w:r w:rsidRPr="00C50A21">
        <w:rPr>
          <w:rFonts w:asciiTheme="minorHAnsi" w:hAnsiTheme="minorHAnsi" w:cstheme="minorHAnsi"/>
          <w:sz w:val="22"/>
          <w:szCs w:val="22"/>
        </w:rPr>
        <w:t>Ville</w:t>
      </w:r>
      <w:proofErr w:type="spellEnd"/>
      <w:r w:rsidRPr="00C50A2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50A21">
        <w:rPr>
          <w:rFonts w:asciiTheme="minorHAnsi" w:hAnsiTheme="minorHAnsi" w:cstheme="minorHAnsi"/>
          <w:bCs/>
          <w:sz w:val="22"/>
          <w:szCs w:val="22"/>
        </w:rPr>
        <w:t>Itälä</w:t>
      </w:r>
      <w:proofErr w:type="spellEnd"/>
      <w:r w:rsidRPr="00C50A21">
        <w:rPr>
          <w:rFonts w:asciiTheme="minorHAnsi" w:hAnsiTheme="minorHAnsi" w:cstheme="minorHAnsi"/>
          <w:bCs/>
          <w:sz w:val="22"/>
          <w:szCs w:val="22"/>
        </w:rPr>
        <w:t xml:space="preserve"> OLAF főigazgató a 2020 januári budapesti találkozójukon </w:t>
      </w:r>
      <w:r w:rsidRPr="00C50A21">
        <w:rPr>
          <w:rFonts w:asciiTheme="minorHAnsi" w:hAnsiTheme="minorHAnsi" w:cstheme="minorHAnsi"/>
          <w:sz w:val="22"/>
          <w:szCs w:val="22"/>
        </w:rPr>
        <w:t xml:space="preserve">megállapodtak abban, hogy az eddig is jól működő szakmai kapcsolat további elmélyítése érdekében együttműködési megállapodást dolgoznak ki.  </w:t>
      </w:r>
    </w:p>
    <w:p w14:paraId="45AEE712" w14:textId="77777777" w:rsidR="00BD457F" w:rsidRPr="00C50A21" w:rsidRDefault="00BD457F" w:rsidP="00BD457F">
      <w:pPr>
        <w:tabs>
          <w:tab w:val="left" w:pos="2511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Az </w:t>
      </w:r>
      <w:r w:rsidRPr="00C50A21">
        <w:rPr>
          <w:rFonts w:asciiTheme="minorHAnsi" w:hAnsiTheme="minorHAnsi" w:cstheme="minorHAnsi"/>
          <w:i/>
          <w:sz w:val="22"/>
          <w:szCs w:val="22"/>
        </w:rPr>
        <w:t xml:space="preserve">EUROJUST </w:t>
      </w:r>
      <w:r w:rsidRPr="00C50A21">
        <w:rPr>
          <w:rFonts w:asciiTheme="minorHAnsi" w:hAnsiTheme="minorHAnsi" w:cstheme="minorHAnsi"/>
          <w:sz w:val="22"/>
          <w:szCs w:val="22"/>
        </w:rPr>
        <w:t xml:space="preserve">több uniós országot érintő súlyos és szervezett bűncselekmények esetén nyújt segítséget a tagállamok ügyészségeinek. A magyar kezdeményezésű ügyek alapján Magyarország az elmúlt két évben az 5. legtöbb ügyet nyitó tagállam volt. 2020 folyamán az </w:t>
      </w:r>
      <w:proofErr w:type="spellStart"/>
      <w:r w:rsidRPr="00C50A21">
        <w:rPr>
          <w:rFonts w:asciiTheme="minorHAnsi" w:hAnsiTheme="minorHAnsi" w:cstheme="minorHAnsi"/>
          <w:sz w:val="22"/>
          <w:szCs w:val="22"/>
        </w:rPr>
        <w:t>Eurojust</w:t>
      </w:r>
      <w:proofErr w:type="spellEnd"/>
      <w:r w:rsidRPr="00C50A21">
        <w:rPr>
          <w:rFonts w:asciiTheme="minorHAnsi" w:hAnsiTheme="minorHAnsi" w:cstheme="minorHAnsi"/>
          <w:sz w:val="22"/>
          <w:szCs w:val="22"/>
        </w:rPr>
        <w:t xml:space="preserve"> égisze alatt a magyar hatóságok összesen 4 újonnan létrehozott és 11 folyamatban lévő közös nyomozócsoportban vettek részt.</w:t>
      </w:r>
    </w:p>
    <w:p w14:paraId="61E36A6A" w14:textId="77777777" w:rsidR="00BD457F" w:rsidRPr="00C50A21" w:rsidRDefault="00BD457F" w:rsidP="00BD457F">
      <w:pPr>
        <w:tabs>
          <w:tab w:val="left" w:pos="2511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Minden más Európai Uniós szervvel is együttműködik az ügyészség annak érdekében, hogy minél hatékonyabban lépjen fel a korrupció ellen. Így ez a szándék vezette a szervezetet, amikor idén áprilisban – a nem csatlakozott országok közül elsőként és eddig egyedüliként – munkamegállapodást kötött az </w:t>
      </w:r>
      <w:r w:rsidRPr="00C50A21">
        <w:rPr>
          <w:rFonts w:asciiTheme="minorHAnsi" w:hAnsiTheme="minorHAnsi" w:cstheme="minorHAnsi"/>
          <w:i/>
          <w:sz w:val="22"/>
          <w:szCs w:val="22"/>
        </w:rPr>
        <w:t>Európai Ügyészség</w:t>
      </w:r>
      <w:r w:rsidRPr="00C50A21">
        <w:rPr>
          <w:rFonts w:asciiTheme="minorHAnsi" w:hAnsiTheme="minorHAnsi" w:cstheme="minorHAnsi"/>
          <w:sz w:val="22"/>
          <w:szCs w:val="22"/>
        </w:rPr>
        <w:t>gel (EPPO-</w:t>
      </w:r>
      <w:proofErr w:type="spellStart"/>
      <w:r w:rsidRPr="00C50A21">
        <w:rPr>
          <w:rFonts w:asciiTheme="minorHAnsi" w:hAnsiTheme="minorHAnsi" w:cstheme="minorHAnsi"/>
          <w:sz w:val="22"/>
          <w:szCs w:val="22"/>
        </w:rPr>
        <w:t>val</w:t>
      </w:r>
      <w:proofErr w:type="spellEnd"/>
      <w:r w:rsidRPr="00C50A21">
        <w:rPr>
          <w:rFonts w:asciiTheme="minorHAnsi" w:hAnsiTheme="minorHAnsi" w:cstheme="minorHAnsi"/>
          <w:sz w:val="22"/>
          <w:szCs w:val="22"/>
        </w:rPr>
        <w:t>).</w:t>
      </w:r>
    </w:p>
    <w:p w14:paraId="6C764C48" w14:textId="77777777" w:rsidR="00BD457F" w:rsidRPr="00C50A21" w:rsidRDefault="00BD457F" w:rsidP="00BD457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 korrupciós ügyekben a megelőzés egyik fontos eszköze, hogy a közvélemény nyomon tudja követni a büntetőeljárások alakulását, ezért az ilyen bűncselekmények kapcsán tett ügyészségi intézkedésekről </w:t>
      </w:r>
      <w:r w:rsidRPr="00C50A21">
        <w:rPr>
          <w:rFonts w:asciiTheme="minorHAnsi" w:hAnsiTheme="minorHAnsi" w:cstheme="minorHAnsi"/>
          <w:i/>
          <w:sz w:val="22"/>
          <w:szCs w:val="22"/>
        </w:rPr>
        <w:t>a sajtószóvivői hálózat folyamatosan tájékoztatja a nyilvánosságot</w:t>
      </w:r>
      <w:r w:rsidRPr="00C50A21">
        <w:rPr>
          <w:rFonts w:asciiTheme="minorHAnsi" w:hAnsiTheme="minorHAnsi" w:cstheme="minorHAnsi"/>
          <w:sz w:val="22"/>
          <w:szCs w:val="22"/>
        </w:rPr>
        <w:t>.</w:t>
      </w:r>
    </w:p>
    <w:p w14:paraId="115955F4" w14:textId="77777777" w:rsidR="00BD457F" w:rsidRPr="00C50A21" w:rsidRDefault="00BD457F" w:rsidP="00BD457F">
      <w:pPr>
        <w:spacing w:after="60"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br w:type="page"/>
      </w:r>
    </w:p>
    <w:p w14:paraId="1E4A8C29" w14:textId="77777777" w:rsidR="00BD457F" w:rsidRPr="00C50A21" w:rsidRDefault="00BD457F" w:rsidP="00C50A21">
      <w:pPr>
        <w:pBdr>
          <w:bottom w:val="single" w:sz="6" w:space="1" w:color="auto"/>
        </w:pBdr>
        <w:spacing w:after="120" w:line="276" w:lineRule="auto"/>
        <w:rPr>
          <w:rFonts w:asciiTheme="minorHAnsi" w:hAnsiTheme="minorHAnsi" w:cstheme="minorHAnsi"/>
          <w:b/>
          <w:spacing w:val="-4"/>
          <w:sz w:val="22"/>
          <w:szCs w:val="22"/>
        </w:rPr>
      </w:pPr>
    </w:p>
    <w:p w14:paraId="4C1077E0" w14:textId="7257B2DE" w:rsidR="008A5147" w:rsidRPr="00A0614A" w:rsidRDefault="007027E9" w:rsidP="00C50A21">
      <w:pPr>
        <w:spacing w:after="12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bookmarkStart w:id="2" w:name="_Hlk25831147"/>
      <w:r w:rsidRPr="00A0614A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710464" behindDoc="1" locked="0" layoutInCell="1" allowOverlap="1" wp14:anchorId="33CAFE61" wp14:editId="0D8D8D48">
            <wp:simplePos x="0" y="0"/>
            <wp:positionH relativeFrom="margin">
              <wp:align>left</wp:align>
            </wp:positionH>
            <wp:positionV relativeFrom="paragraph">
              <wp:posOffset>58547</wp:posOffset>
            </wp:positionV>
            <wp:extent cx="1628775" cy="838200"/>
            <wp:effectExtent l="0" t="0" r="9525" b="0"/>
            <wp:wrapTight wrapText="bothSides">
              <wp:wrapPolygon edited="0">
                <wp:start x="0" y="0"/>
                <wp:lineTo x="0" y="21109"/>
                <wp:lineTo x="21474" y="21109"/>
                <wp:lineTo x="21474" y="0"/>
                <wp:lineTo x="0" y="0"/>
              </wp:wrapPolygon>
            </wp:wrapTight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8A5147" w:rsidRPr="00A0614A">
        <w:rPr>
          <w:rFonts w:asciiTheme="minorHAnsi" w:hAnsiTheme="minorHAnsi" w:cstheme="minorHAnsi"/>
          <w:b/>
          <w:bCs/>
          <w:sz w:val="22"/>
          <w:szCs w:val="22"/>
        </w:rPr>
        <w:t>A bíróságok 2021. évi működésére – az előző évhez hasonlóan – rányomta a bélyegét COVID-19 világjárvány elleni védekezés. Ennek következtében a bírósági dolgozók és az ügyfelek egészségének védelme vált a bíróságok működtetésének elsődleges prioritásává, ugyanakkor ezzel egyidejűleg az ítélkező munka és az igazgatás folyamatosságát is biztosítani kellett.</w:t>
      </w:r>
    </w:p>
    <w:p w14:paraId="09687479" w14:textId="77777777" w:rsidR="008A5147" w:rsidRPr="00C50A21" w:rsidRDefault="008A5147" w:rsidP="00C50A2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>Az év végével elmondható, hogy a bíróságok működése a megváltozott körülmények között is folyamatos volt, amiben ügydöntő jelentősége volt a különféle digitális megoldások használatának.</w:t>
      </w:r>
    </w:p>
    <w:p w14:paraId="17A9B113" w14:textId="77777777" w:rsidR="008A5147" w:rsidRPr="00C50A21" w:rsidRDefault="008A5147" w:rsidP="00C50A2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Ennek körében kiemelendő, hogy a bíróságok központi képzései szinte kizárólag digitális formában kerültek megtartására, azonban ez csupán módszertani változást jelentett, a képzések színvonala nem csökkent. A bírósági titkárok – vagyis a jogi szakvizsgával rendelkező, egyes ügyekben önálló hatáskörben is eljáró, a bírói utánpótlás derékhadát alkotó – bírói hivatásra felkészítő képzéssorozatának továbbra is kezdőmodulja a bírói hivatástudattal, etikával és integritással foglalkozó képzés. Emellett az idei évben külön belső képzésre került sor az OBH illetékes főosztályának szervezésében </w:t>
      </w:r>
      <w:r w:rsidRPr="00C50A21">
        <w:rPr>
          <w:rFonts w:asciiTheme="minorHAnsi" w:hAnsiTheme="minorHAnsi" w:cstheme="minorHAnsi"/>
          <w:i/>
          <w:iCs/>
          <w:sz w:val="22"/>
          <w:szCs w:val="22"/>
        </w:rPr>
        <w:t>„Integritás a közbeszerzési eljárásokban”</w:t>
      </w:r>
      <w:r w:rsidRPr="00C50A21">
        <w:rPr>
          <w:rFonts w:asciiTheme="minorHAnsi" w:hAnsiTheme="minorHAnsi" w:cstheme="minorHAnsi"/>
          <w:sz w:val="22"/>
          <w:szCs w:val="22"/>
        </w:rPr>
        <w:t xml:space="preserve"> címmel.</w:t>
      </w:r>
    </w:p>
    <w:p w14:paraId="2A1BC848" w14:textId="77777777" w:rsidR="008A5147" w:rsidRPr="00C50A21" w:rsidRDefault="008A5147" w:rsidP="00C50A2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Az OBH a megváltozott körülmények között is folyamatosan </w:t>
      </w:r>
      <w:proofErr w:type="spellStart"/>
      <w:r w:rsidRPr="00C50A21">
        <w:rPr>
          <w:rFonts w:asciiTheme="minorHAnsi" w:hAnsiTheme="minorHAnsi" w:cstheme="minorHAnsi"/>
          <w:sz w:val="22"/>
          <w:szCs w:val="22"/>
        </w:rPr>
        <w:t>működtetette</w:t>
      </w:r>
      <w:proofErr w:type="spellEnd"/>
      <w:r w:rsidRPr="00C50A21">
        <w:rPr>
          <w:rFonts w:asciiTheme="minorHAnsi" w:hAnsiTheme="minorHAnsi" w:cstheme="minorHAnsi"/>
          <w:sz w:val="22"/>
          <w:szCs w:val="22"/>
        </w:rPr>
        <w:t xml:space="preserve"> a bírósági fejezet </w:t>
      </w:r>
      <w:proofErr w:type="spellStart"/>
      <w:r w:rsidRPr="00C50A21">
        <w:rPr>
          <w:rFonts w:asciiTheme="minorHAnsi" w:hAnsiTheme="minorHAnsi" w:cstheme="minorHAnsi"/>
          <w:sz w:val="22"/>
          <w:szCs w:val="22"/>
        </w:rPr>
        <w:t>prudens</w:t>
      </w:r>
      <w:proofErr w:type="spellEnd"/>
      <w:r w:rsidRPr="00C50A21">
        <w:rPr>
          <w:rFonts w:asciiTheme="minorHAnsi" w:hAnsiTheme="minorHAnsi" w:cstheme="minorHAnsi"/>
          <w:sz w:val="22"/>
          <w:szCs w:val="22"/>
        </w:rPr>
        <w:t xml:space="preserve"> működéséhez szükséges belső kontrollrendszert. A bírósági fejezet egészét érintően integrált kockázatkezelési rendszer működik, az egyes intézmények – a bírósági szervezetben ugyanis 27 önálló jogi személyiséggel rendelkező szervezeti egység működik – pedig kockázatkezelési szabályzattal rendelkeznek, amely meghatározza az egyes területeken azonosítható kockázati eseményeket és azokkal kapcsolatos intézkedési tervet. </w:t>
      </w:r>
    </w:p>
    <w:p w14:paraId="3D70BE75" w14:textId="77777777" w:rsidR="008A5147" w:rsidRPr="00C50A21" w:rsidRDefault="008A5147" w:rsidP="00C50A2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 pártatlan bíráskodáshoz való jog az Alaptörvény XVIII. cikkének (1) bekezdésben tételezett alapjog – ennek fokozott érvényre juttatása érdekében az OBH a 2021-es évben több jogszabály-módosítást is kezdeményezett. A bíróságok szervezetéről és igazgatásáról szóló 2011. évi CLXI. törvény 76. § (1) bekezdésének d) pontja szerint ugyanis az OBH elnöke általános igazgatási feladatkörében a bíróságokat érintő jogszabály megalkotására tehet javaslatot a jogszabály kezdeményezésére jogosultnál. Az OBH kezdeményezésére ennek keretében </w:t>
      </w:r>
      <w:proofErr w:type="spellStart"/>
      <w:r w:rsidRPr="00C50A21">
        <w:rPr>
          <w:rFonts w:asciiTheme="minorHAnsi" w:hAnsiTheme="minorHAnsi" w:cstheme="minorHAnsi"/>
          <w:sz w:val="22"/>
          <w:szCs w:val="22"/>
        </w:rPr>
        <w:t>pontosításra</w:t>
      </w:r>
      <w:proofErr w:type="spellEnd"/>
      <w:r w:rsidRPr="00C50A21">
        <w:rPr>
          <w:rFonts w:asciiTheme="minorHAnsi" w:hAnsiTheme="minorHAnsi" w:cstheme="minorHAnsi"/>
          <w:sz w:val="22"/>
          <w:szCs w:val="22"/>
        </w:rPr>
        <w:t xml:space="preserve"> kerültek a büntetőeljárásról szóló 2017. évi XC. törvénynek a bíró „elfogultság” miatti kizárására vonatkozó szabályai, továbbá a bírák jogállásáról és javadalmazásáról szóló 2011. évi CLXII. törvényben az egyéb szervhez beosztott bírónak – a beosztása megszűnés utáni – kizárására vonatkozó szabályok.</w:t>
      </w:r>
    </w:p>
    <w:p w14:paraId="34B9DB49" w14:textId="77777777" w:rsidR="008A5147" w:rsidRPr="00C50A21" w:rsidRDefault="008A5147" w:rsidP="00C50A2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 xml:space="preserve">Annak érdekében, hogy a tudományos kutatásnak az Alaptörvény X. cikke (1) bekezdésében biztosított szabadsága és a személyes adatok VI. cikk (3) bekezdésében biztosított védelmének dinamikus egyensúlya biztosított legyen, az OBH keretében működő Magyar Igazságügyi Akadémia a kutatási kérelmek elbírálása során egyeztet az </w:t>
      </w:r>
      <w:proofErr w:type="spellStart"/>
      <w:r w:rsidRPr="00C50A21">
        <w:rPr>
          <w:rFonts w:asciiTheme="minorHAnsi" w:hAnsiTheme="minorHAnsi" w:cstheme="minorHAnsi"/>
          <w:sz w:val="22"/>
          <w:szCs w:val="22"/>
        </w:rPr>
        <w:t>adatvédelmi</w:t>
      </w:r>
      <w:proofErr w:type="spellEnd"/>
      <w:r w:rsidRPr="00C50A21">
        <w:rPr>
          <w:rFonts w:asciiTheme="minorHAnsi" w:hAnsiTheme="minorHAnsi" w:cstheme="minorHAnsi"/>
          <w:sz w:val="22"/>
          <w:szCs w:val="22"/>
        </w:rPr>
        <w:t>- és az integritásfelelőssel is.</w:t>
      </w:r>
    </w:p>
    <w:p w14:paraId="7CB5CBD3" w14:textId="77777777" w:rsidR="008A5147" w:rsidRPr="00C50A21" w:rsidRDefault="008A5147" w:rsidP="00C50A2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50A21">
        <w:rPr>
          <w:rFonts w:asciiTheme="minorHAnsi" w:hAnsiTheme="minorHAnsi" w:cstheme="minorHAnsi"/>
          <w:sz w:val="22"/>
          <w:szCs w:val="22"/>
        </w:rPr>
        <w:t>Továbbra is elmondható, hogy csekély számban történnek olyan cselekmények, amelyek a bírósági épületek biztonságát vagy a bírósági dolgozók testi épségét veszélyeztetik: 2021. első félévében 11 olyan esemény történt, amely során bírósági dolgozót vagy a bíróság épületében tartózkodó ügyfelet ért erőszakos cselekmény vagy erre irányuló fenyegetés, ezen felül mindösszesen 5 olyan verbális vagy írásbeli fenyegetést intéztek bírósági dolgozókhoz, amelynek célja az volt, hogy az eljárás lefolytatását megakadályozzák vagy megnehezítsék.</w:t>
      </w:r>
    </w:p>
    <w:p w14:paraId="152985FE" w14:textId="16ADEEE8" w:rsidR="006A0673" w:rsidRPr="00C50A21" w:rsidRDefault="006A0673" w:rsidP="00BD457F">
      <w:pPr>
        <w:spacing w:after="60" w:line="276" w:lineRule="auto"/>
        <w:rPr>
          <w:rFonts w:asciiTheme="minorHAnsi" w:hAnsiTheme="minorHAnsi" w:cstheme="minorHAnsi"/>
          <w:b/>
          <w:spacing w:val="-4"/>
          <w:sz w:val="22"/>
          <w:szCs w:val="22"/>
        </w:rPr>
      </w:pPr>
    </w:p>
    <w:sectPr w:rsidR="006A0673" w:rsidRPr="00C50A21" w:rsidSect="0056390D">
      <w:headerReference w:type="first" r:id="rId18"/>
      <w:pgSz w:w="11906" w:h="16838"/>
      <w:pgMar w:top="202" w:right="1021" w:bottom="249" w:left="1021" w:header="284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3F9FB" w14:textId="77777777" w:rsidR="007E1B4E" w:rsidRDefault="007E1B4E" w:rsidP="00FD79E2">
      <w:r>
        <w:separator/>
      </w:r>
    </w:p>
  </w:endnote>
  <w:endnote w:type="continuationSeparator" w:id="0">
    <w:p w14:paraId="7DFA16B2" w14:textId="77777777" w:rsidR="007E1B4E" w:rsidRDefault="007E1B4E" w:rsidP="00FD7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62CFF" w14:textId="77777777" w:rsidR="007E1B4E" w:rsidRDefault="007E1B4E" w:rsidP="00FD79E2">
      <w:r>
        <w:separator/>
      </w:r>
    </w:p>
  </w:footnote>
  <w:footnote w:type="continuationSeparator" w:id="0">
    <w:p w14:paraId="5456FEBB" w14:textId="77777777" w:rsidR="007E1B4E" w:rsidRDefault="007E1B4E" w:rsidP="00FD79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pPr w:leftFromText="141" w:rightFromText="141" w:vertAnchor="text" w:tblpXSpec="center" w:tblpY="1"/>
      <w:tblOverlap w:val="never"/>
      <w:tblW w:w="114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00"/>
      <w:gridCol w:w="1508"/>
      <w:gridCol w:w="1806"/>
      <w:gridCol w:w="2391"/>
      <w:gridCol w:w="1011"/>
      <w:gridCol w:w="1326"/>
      <w:gridCol w:w="1116"/>
      <w:gridCol w:w="1338"/>
    </w:tblGrid>
    <w:tr w:rsidR="00AB5D11" w14:paraId="026429A1" w14:textId="77777777" w:rsidTr="00E619A1">
      <w:trPr>
        <w:cantSplit/>
      </w:trPr>
      <w:tc>
        <w:tcPr>
          <w:tcW w:w="1405" w:type="dxa"/>
          <w:vAlign w:val="center"/>
        </w:tcPr>
        <w:p w14:paraId="4CB838F8" w14:textId="7B48EF96" w:rsidR="0056390D" w:rsidRDefault="0056390D" w:rsidP="0041245B">
          <w:pPr>
            <w:widowControl w:val="0"/>
          </w:pPr>
          <w:r w:rsidRPr="00EC5FA0">
            <w:rPr>
              <w:b/>
              <w:noProof/>
            </w:rPr>
            <w:drawing>
              <wp:anchor distT="0" distB="0" distL="114300" distR="114300" simplePos="0" relativeHeight="251666432" behindDoc="1" locked="0" layoutInCell="1" allowOverlap="1" wp14:anchorId="381C3DCF" wp14:editId="67E5CB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2400" cy="486000"/>
                <wp:effectExtent l="0" t="0" r="0" b="0"/>
                <wp:wrapSquare wrapText="bothSides"/>
                <wp:docPr id="193" name="Kép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00" cy="4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97" w:type="dxa"/>
          <w:vAlign w:val="center"/>
        </w:tcPr>
        <w:p w14:paraId="526E5676" w14:textId="068F859B" w:rsidR="0056390D" w:rsidRDefault="0056390D" w:rsidP="0041245B">
          <w:pPr>
            <w:widowControl w:val="0"/>
          </w:pPr>
          <w:r w:rsidRPr="00EC5FA0"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4B053604" wp14:editId="6DE210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0800" cy="590400"/>
                <wp:effectExtent l="0" t="0" r="0" b="635"/>
                <wp:wrapSquare wrapText="bothSides"/>
                <wp:docPr id="26" name="Kép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142" t="10651" r="72325" b="75908"/>
                        <a:stretch/>
                      </pic:blipFill>
                      <pic:spPr bwMode="auto">
                        <a:xfrm>
                          <a:off x="0" y="0"/>
                          <a:ext cx="820800" cy="59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92" w:type="dxa"/>
          <w:vAlign w:val="center"/>
        </w:tcPr>
        <w:p w14:paraId="6DF7DAEF" w14:textId="2357E8B7" w:rsidR="0056390D" w:rsidRDefault="0056390D" w:rsidP="0041245B">
          <w:pPr>
            <w:widowControl w:val="0"/>
          </w:pPr>
          <w:r w:rsidRPr="00B27738">
            <w:rPr>
              <w:noProof/>
            </w:rPr>
            <w:drawing>
              <wp:inline distT="0" distB="0" distL="0" distR="0" wp14:anchorId="7E878433" wp14:editId="537FBDDA">
                <wp:extent cx="1009650" cy="351778"/>
                <wp:effectExtent l="0" t="0" r="0" b="0"/>
                <wp:docPr id="27" name="Kép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012" cy="358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35" w:type="dxa"/>
          <w:vAlign w:val="center"/>
        </w:tcPr>
        <w:p w14:paraId="5896FC82" w14:textId="03F50465" w:rsidR="0056390D" w:rsidRDefault="00AB5D11" w:rsidP="0041245B">
          <w:pPr>
            <w:widowControl w:val="0"/>
          </w:pPr>
          <w:r>
            <w:rPr>
              <w:noProof/>
            </w:rPr>
            <w:drawing>
              <wp:inline distT="0" distB="0" distL="0" distR="0" wp14:anchorId="69B645AB" wp14:editId="582D19F2">
                <wp:extent cx="1381125" cy="522640"/>
                <wp:effectExtent l="0" t="0" r="0" b="0"/>
                <wp:docPr id="6" name="Ké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5085" cy="5354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4" w:type="dxa"/>
          <w:vAlign w:val="center"/>
        </w:tcPr>
        <w:p w14:paraId="3361E078" w14:textId="52A05FD7" w:rsidR="0056390D" w:rsidRDefault="0056390D" w:rsidP="0041245B">
          <w:pPr>
            <w:widowControl w:val="0"/>
          </w:pPr>
          <w:r>
            <w:rPr>
              <w:noProof/>
            </w:rPr>
            <w:drawing>
              <wp:inline distT="0" distB="0" distL="0" distR="0" wp14:anchorId="6D89A846" wp14:editId="41ACC42C">
                <wp:extent cx="504825" cy="531395"/>
                <wp:effectExtent l="0" t="0" r="0" b="2540"/>
                <wp:docPr id="29" name="Kép 29" descr="Q:\Fotok\Elnokseg\Webgrafika\Logo\kuria-logo_szin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Q:\Fotok\Elnokseg\Webgrafika\Logo\kuria-logo_szine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415" cy="537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3" w:type="dxa"/>
          <w:vAlign w:val="center"/>
        </w:tcPr>
        <w:p w14:paraId="4CED1BE2" w14:textId="3F78448A" w:rsidR="0056390D" w:rsidRDefault="0056390D" w:rsidP="0041245B">
          <w:pPr>
            <w:widowControl w:val="0"/>
          </w:pPr>
          <w:r w:rsidRPr="009B52E6">
            <w:rPr>
              <w:rFonts w:ascii="Times New Roman" w:hAnsi="Times New Roman"/>
              <w:noProof/>
              <w:sz w:val="24"/>
              <w:szCs w:val="24"/>
            </w:rPr>
            <w:drawing>
              <wp:anchor distT="0" distB="0" distL="114300" distR="114300" simplePos="0" relativeHeight="251672576" behindDoc="0" locked="0" layoutInCell="1" allowOverlap="1" wp14:anchorId="03EA2E7D" wp14:editId="40A9606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98400" cy="540000"/>
                <wp:effectExtent l="0" t="0" r="6985" b="0"/>
                <wp:wrapSquare wrapText="bothSides"/>
                <wp:docPr id="30" name="Kép 30" descr="E:\KINGSTON 2012-\LÜ SAJTÓ\különböző sajtós projektek\2020\új kommunikációs koncepció\új honlap fejlesztés Promotheus\arculati kézikönyv\mu_logo_w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KINGSTON 2012-\LÜ SAJTÓ\különböző sajtós projektek\2020\új kommunikációs koncepció\új honlap fejlesztés Promotheus\arculati kézikönyv\mu_logo_w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078" w:type="dxa"/>
          <w:vAlign w:val="center"/>
        </w:tcPr>
        <w:p w14:paraId="3F538119" w14:textId="132C463B" w:rsidR="0056390D" w:rsidRDefault="0056390D" w:rsidP="0041245B">
          <w:pPr>
            <w:widowControl w:val="0"/>
          </w:pPr>
          <w:r>
            <w:rPr>
              <w:noProof/>
            </w:rPr>
            <w:drawing>
              <wp:inline distT="0" distB="0" distL="0" distR="0" wp14:anchorId="248F13E3" wp14:editId="04FB8852">
                <wp:extent cx="565200" cy="561600"/>
                <wp:effectExtent l="0" t="0" r="6350" b="0"/>
                <wp:docPr id="3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5200" cy="56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19" w:type="dxa"/>
          <w:vAlign w:val="center"/>
        </w:tcPr>
        <w:p w14:paraId="018C6750" w14:textId="0650274A" w:rsidR="0056390D" w:rsidRDefault="0056390D" w:rsidP="0041245B">
          <w:pPr>
            <w:widowControl w:val="0"/>
          </w:pPr>
          <w:r w:rsidRPr="00EC5FA0">
            <w:rPr>
              <w:noProof/>
            </w:rPr>
            <w:drawing>
              <wp:anchor distT="0" distB="0" distL="114300" distR="114300" simplePos="0" relativeHeight="251674624" behindDoc="1" locked="0" layoutInCell="1" allowOverlap="1" wp14:anchorId="4BFFEA32" wp14:editId="607BB5D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2800" cy="367200"/>
                <wp:effectExtent l="0" t="0" r="0" b="0"/>
                <wp:wrapTight wrapText="bothSides">
                  <wp:wrapPolygon edited="0">
                    <wp:start x="0" y="0"/>
                    <wp:lineTo x="0" y="20180"/>
                    <wp:lineTo x="20791" y="20180"/>
                    <wp:lineTo x="20791" y="0"/>
                    <wp:lineTo x="0" y="0"/>
                  </wp:wrapPolygon>
                </wp:wrapTight>
                <wp:docPr id="192" name="Kép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2800" cy="3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AC13D4B" w14:textId="77777777" w:rsidR="00890B64" w:rsidRPr="0056390D" w:rsidRDefault="00890B64" w:rsidP="0056390D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E1B3D"/>
    <w:multiLevelType w:val="hybridMultilevel"/>
    <w:tmpl w:val="9CDC46E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F4D89"/>
    <w:multiLevelType w:val="hybridMultilevel"/>
    <w:tmpl w:val="AC5CDA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83D15"/>
    <w:multiLevelType w:val="hybridMultilevel"/>
    <w:tmpl w:val="3110B6E0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1291D"/>
    <w:multiLevelType w:val="hybridMultilevel"/>
    <w:tmpl w:val="2D2AED4A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F80844"/>
    <w:multiLevelType w:val="hybridMultilevel"/>
    <w:tmpl w:val="B0BC990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57348"/>
    <w:multiLevelType w:val="hybridMultilevel"/>
    <w:tmpl w:val="B2309116"/>
    <w:lvl w:ilvl="0" w:tplc="040E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1D6"/>
    <w:rsid w:val="0004230F"/>
    <w:rsid w:val="00061371"/>
    <w:rsid w:val="0006377D"/>
    <w:rsid w:val="00071FE7"/>
    <w:rsid w:val="000845F2"/>
    <w:rsid w:val="00094CCA"/>
    <w:rsid w:val="00094E3C"/>
    <w:rsid w:val="00095224"/>
    <w:rsid w:val="000A6FDC"/>
    <w:rsid w:val="000B79F3"/>
    <w:rsid w:val="000C2E2A"/>
    <w:rsid w:val="000C621F"/>
    <w:rsid w:val="0010389B"/>
    <w:rsid w:val="00120FA5"/>
    <w:rsid w:val="001256D8"/>
    <w:rsid w:val="001258ED"/>
    <w:rsid w:val="00132687"/>
    <w:rsid w:val="001426CF"/>
    <w:rsid w:val="001614DB"/>
    <w:rsid w:val="0017366A"/>
    <w:rsid w:val="00193302"/>
    <w:rsid w:val="001A2CF2"/>
    <w:rsid w:val="001A4AD7"/>
    <w:rsid w:val="001C339E"/>
    <w:rsid w:val="001D049E"/>
    <w:rsid w:val="001D458C"/>
    <w:rsid w:val="001D759B"/>
    <w:rsid w:val="001F3E72"/>
    <w:rsid w:val="001F6733"/>
    <w:rsid w:val="00202145"/>
    <w:rsid w:val="00216E6A"/>
    <w:rsid w:val="00221833"/>
    <w:rsid w:val="00222841"/>
    <w:rsid w:val="002269E6"/>
    <w:rsid w:val="00231703"/>
    <w:rsid w:val="00231827"/>
    <w:rsid w:val="002441E4"/>
    <w:rsid w:val="00245BEF"/>
    <w:rsid w:val="002507C9"/>
    <w:rsid w:val="002550BC"/>
    <w:rsid w:val="00256FFE"/>
    <w:rsid w:val="00265338"/>
    <w:rsid w:val="00293AAB"/>
    <w:rsid w:val="00295E00"/>
    <w:rsid w:val="002A6E85"/>
    <w:rsid w:val="002C2B78"/>
    <w:rsid w:val="002C4BA2"/>
    <w:rsid w:val="002D3B7B"/>
    <w:rsid w:val="002E19CB"/>
    <w:rsid w:val="002E53F4"/>
    <w:rsid w:val="0030035A"/>
    <w:rsid w:val="0031734E"/>
    <w:rsid w:val="00321F67"/>
    <w:rsid w:val="00354908"/>
    <w:rsid w:val="0036182B"/>
    <w:rsid w:val="00373F36"/>
    <w:rsid w:val="00396E24"/>
    <w:rsid w:val="003A17E6"/>
    <w:rsid w:val="003A391D"/>
    <w:rsid w:val="003C7511"/>
    <w:rsid w:val="003F21D6"/>
    <w:rsid w:val="003F5EF4"/>
    <w:rsid w:val="00406859"/>
    <w:rsid w:val="0040798F"/>
    <w:rsid w:val="0041245B"/>
    <w:rsid w:val="004152B5"/>
    <w:rsid w:val="004229F4"/>
    <w:rsid w:val="00432C4A"/>
    <w:rsid w:val="00443942"/>
    <w:rsid w:val="004440D8"/>
    <w:rsid w:val="00445650"/>
    <w:rsid w:val="0044571D"/>
    <w:rsid w:val="00461C09"/>
    <w:rsid w:val="00472107"/>
    <w:rsid w:val="00484CF3"/>
    <w:rsid w:val="00495887"/>
    <w:rsid w:val="004A0E14"/>
    <w:rsid w:val="004C052F"/>
    <w:rsid w:val="004D0603"/>
    <w:rsid w:val="004D2DF7"/>
    <w:rsid w:val="004F14B7"/>
    <w:rsid w:val="004F6C1F"/>
    <w:rsid w:val="00504B55"/>
    <w:rsid w:val="00505D33"/>
    <w:rsid w:val="00505E92"/>
    <w:rsid w:val="005064D1"/>
    <w:rsid w:val="00515912"/>
    <w:rsid w:val="00515AD8"/>
    <w:rsid w:val="0052078D"/>
    <w:rsid w:val="00540159"/>
    <w:rsid w:val="00541AE5"/>
    <w:rsid w:val="00543797"/>
    <w:rsid w:val="005537F2"/>
    <w:rsid w:val="00553E2B"/>
    <w:rsid w:val="00556E32"/>
    <w:rsid w:val="0056390D"/>
    <w:rsid w:val="00574F60"/>
    <w:rsid w:val="00584A6A"/>
    <w:rsid w:val="005954BE"/>
    <w:rsid w:val="005A0B60"/>
    <w:rsid w:val="005A2EF7"/>
    <w:rsid w:val="005A3F09"/>
    <w:rsid w:val="005B1160"/>
    <w:rsid w:val="005B37D1"/>
    <w:rsid w:val="005B4B9A"/>
    <w:rsid w:val="005B51E2"/>
    <w:rsid w:val="005C62C0"/>
    <w:rsid w:val="005D19B9"/>
    <w:rsid w:val="005F1BCC"/>
    <w:rsid w:val="00600E25"/>
    <w:rsid w:val="00601B27"/>
    <w:rsid w:val="0060560A"/>
    <w:rsid w:val="00620FC0"/>
    <w:rsid w:val="00623F56"/>
    <w:rsid w:val="00662E92"/>
    <w:rsid w:val="00670376"/>
    <w:rsid w:val="006A0673"/>
    <w:rsid w:val="006A235B"/>
    <w:rsid w:val="006A5C89"/>
    <w:rsid w:val="006C111F"/>
    <w:rsid w:val="006E0C62"/>
    <w:rsid w:val="006E3CE5"/>
    <w:rsid w:val="006E63F3"/>
    <w:rsid w:val="006F4E26"/>
    <w:rsid w:val="007027E9"/>
    <w:rsid w:val="00711731"/>
    <w:rsid w:val="00712570"/>
    <w:rsid w:val="00716D0E"/>
    <w:rsid w:val="00720EEE"/>
    <w:rsid w:val="00730519"/>
    <w:rsid w:val="0073664B"/>
    <w:rsid w:val="007377D3"/>
    <w:rsid w:val="00741714"/>
    <w:rsid w:val="00752C27"/>
    <w:rsid w:val="007664E3"/>
    <w:rsid w:val="00766CC3"/>
    <w:rsid w:val="00770102"/>
    <w:rsid w:val="007730F2"/>
    <w:rsid w:val="00777946"/>
    <w:rsid w:val="007814C4"/>
    <w:rsid w:val="007860BF"/>
    <w:rsid w:val="007A2576"/>
    <w:rsid w:val="007B5051"/>
    <w:rsid w:val="007B6F9A"/>
    <w:rsid w:val="007B73EF"/>
    <w:rsid w:val="007C1161"/>
    <w:rsid w:val="007C1FDF"/>
    <w:rsid w:val="007D3EB7"/>
    <w:rsid w:val="007E1B4E"/>
    <w:rsid w:val="007F3E37"/>
    <w:rsid w:val="007F5CE9"/>
    <w:rsid w:val="00814713"/>
    <w:rsid w:val="00822251"/>
    <w:rsid w:val="00865B7D"/>
    <w:rsid w:val="008663CE"/>
    <w:rsid w:val="0087031D"/>
    <w:rsid w:val="00871127"/>
    <w:rsid w:val="00871D43"/>
    <w:rsid w:val="00876451"/>
    <w:rsid w:val="008859E7"/>
    <w:rsid w:val="008906AC"/>
    <w:rsid w:val="00890B64"/>
    <w:rsid w:val="00895DE1"/>
    <w:rsid w:val="008A5147"/>
    <w:rsid w:val="008C2D3F"/>
    <w:rsid w:val="008D1E47"/>
    <w:rsid w:val="008D3ACB"/>
    <w:rsid w:val="008E36FD"/>
    <w:rsid w:val="008E41F4"/>
    <w:rsid w:val="008E48F9"/>
    <w:rsid w:val="008E67BE"/>
    <w:rsid w:val="008F227E"/>
    <w:rsid w:val="008F3CC6"/>
    <w:rsid w:val="00911604"/>
    <w:rsid w:val="009141CE"/>
    <w:rsid w:val="009208BC"/>
    <w:rsid w:val="00945B15"/>
    <w:rsid w:val="00960CB8"/>
    <w:rsid w:val="00991BC8"/>
    <w:rsid w:val="00993EB1"/>
    <w:rsid w:val="009A65A0"/>
    <w:rsid w:val="009A7CF1"/>
    <w:rsid w:val="009B33F3"/>
    <w:rsid w:val="009C4594"/>
    <w:rsid w:val="009D1058"/>
    <w:rsid w:val="009E66E4"/>
    <w:rsid w:val="009F2807"/>
    <w:rsid w:val="009F6CEE"/>
    <w:rsid w:val="00A0614A"/>
    <w:rsid w:val="00A1549A"/>
    <w:rsid w:val="00A17B35"/>
    <w:rsid w:val="00A21927"/>
    <w:rsid w:val="00A27462"/>
    <w:rsid w:val="00A35473"/>
    <w:rsid w:val="00A704C7"/>
    <w:rsid w:val="00A76028"/>
    <w:rsid w:val="00A82A6F"/>
    <w:rsid w:val="00A936DE"/>
    <w:rsid w:val="00A96BC9"/>
    <w:rsid w:val="00AA555B"/>
    <w:rsid w:val="00AB5D11"/>
    <w:rsid w:val="00AB794F"/>
    <w:rsid w:val="00AC25C5"/>
    <w:rsid w:val="00AC28A3"/>
    <w:rsid w:val="00AC2E7F"/>
    <w:rsid w:val="00AD60D6"/>
    <w:rsid w:val="00AE3096"/>
    <w:rsid w:val="00AE4523"/>
    <w:rsid w:val="00AF3544"/>
    <w:rsid w:val="00B007DB"/>
    <w:rsid w:val="00B02F0E"/>
    <w:rsid w:val="00B0340E"/>
    <w:rsid w:val="00B10DFB"/>
    <w:rsid w:val="00B21C66"/>
    <w:rsid w:val="00B256C2"/>
    <w:rsid w:val="00B25D55"/>
    <w:rsid w:val="00B31411"/>
    <w:rsid w:val="00B60C48"/>
    <w:rsid w:val="00B71666"/>
    <w:rsid w:val="00B91135"/>
    <w:rsid w:val="00BB397A"/>
    <w:rsid w:val="00BB7328"/>
    <w:rsid w:val="00BD457F"/>
    <w:rsid w:val="00BD5F9B"/>
    <w:rsid w:val="00BD7258"/>
    <w:rsid w:val="00BF1157"/>
    <w:rsid w:val="00C0601B"/>
    <w:rsid w:val="00C17159"/>
    <w:rsid w:val="00C2384A"/>
    <w:rsid w:val="00C307F2"/>
    <w:rsid w:val="00C3572B"/>
    <w:rsid w:val="00C36BD6"/>
    <w:rsid w:val="00C44FAC"/>
    <w:rsid w:val="00C500A9"/>
    <w:rsid w:val="00C50386"/>
    <w:rsid w:val="00C50A21"/>
    <w:rsid w:val="00C63C83"/>
    <w:rsid w:val="00C65F72"/>
    <w:rsid w:val="00CA0F1F"/>
    <w:rsid w:val="00CA4507"/>
    <w:rsid w:val="00CA6BDE"/>
    <w:rsid w:val="00CF227A"/>
    <w:rsid w:val="00CF3A2C"/>
    <w:rsid w:val="00D16758"/>
    <w:rsid w:val="00D261BB"/>
    <w:rsid w:val="00D30303"/>
    <w:rsid w:val="00D34E95"/>
    <w:rsid w:val="00D34F2E"/>
    <w:rsid w:val="00D37413"/>
    <w:rsid w:val="00D46416"/>
    <w:rsid w:val="00D6691B"/>
    <w:rsid w:val="00D67535"/>
    <w:rsid w:val="00D71DF7"/>
    <w:rsid w:val="00D81F39"/>
    <w:rsid w:val="00D909E4"/>
    <w:rsid w:val="00DA19E2"/>
    <w:rsid w:val="00DC1DB5"/>
    <w:rsid w:val="00DC3610"/>
    <w:rsid w:val="00DC7F78"/>
    <w:rsid w:val="00DF4B00"/>
    <w:rsid w:val="00DF4BC5"/>
    <w:rsid w:val="00DF6E61"/>
    <w:rsid w:val="00DF74D7"/>
    <w:rsid w:val="00E011E2"/>
    <w:rsid w:val="00E07E0C"/>
    <w:rsid w:val="00E20FB8"/>
    <w:rsid w:val="00E50A2D"/>
    <w:rsid w:val="00E5334E"/>
    <w:rsid w:val="00E5670E"/>
    <w:rsid w:val="00E613D3"/>
    <w:rsid w:val="00E619A1"/>
    <w:rsid w:val="00E66AC0"/>
    <w:rsid w:val="00E67761"/>
    <w:rsid w:val="00E8089A"/>
    <w:rsid w:val="00E80F19"/>
    <w:rsid w:val="00E8701A"/>
    <w:rsid w:val="00E94557"/>
    <w:rsid w:val="00E9565D"/>
    <w:rsid w:val="00EA003F"/>
    <w:rsid w:val="00EA0F74"/>
    <w:rsid w:val="00EA7AE2"/>
    <w:rsid w:val="00EC5FA0"/>
    <w:rsid w:val="00ED5348"/>
    <w:rsid w:val="00EE217A"/>
    <w:rsid w:val="00EF2767"/>
    <w:rsid w:val="00EF716C"/>
    <w:rsid w:val="00F025EB"/>
    <w:rsid w:val="00F0529C"/>
    <w:rsid w:val="00F245C9"/>
    <w:rsid w:val="00F4257B"/>
    <w:rsid w:val="00F46C1D"/>
    <w:rsid w:val="00F476F7"/>
    <w:rsid w:val="00F51F35"/>
    <w:rsid w:val="00F53E4F"/>
    <w:rsid w:val="00F54866"/>
    <w:rsid w:val="00F644C3"/>
    <w:rsid w:val="00F67428"/>
    <w:rsid w:val="00F67EAE"/>
    <w:rsid w:val="00F8012C"/>
    <w:rsid w:val="00F97942"/>
    <w:rsid w:val="00FA5876"/>
    <w:rsid w:val="00FD3881"/>
    <w:rsid w:val="00FD64BB"/>
    <w:rsid w:val="00FD79E2"/>
    <w:rsid w:val="00FE18B7"/>
    <w:rsid w:val="00FE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DBA665B"/>
  <w15:docId w15:val="{860F72BF-026E-4F7A-B46C-C56963F4C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F21D6"/>
    <w:pPr>
      <w:spacing w:after="0" w:line="240" w:lineRule="auto"/>
      <w:jc w:val="both"/>
    </w:pPr>
    <w:rPr>
      <w:rFonts w:ascii="Garamond" w:eastAsia="Times New Roman" w:hAnsi="Garamond" w:cs="Times New Roman"/>
      <w:sz w:val="2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377D3"/>
    <w:pPr>
      <w:ind w:left="720"/>
      <w:contextualSpacing/>
    </w:pPr>
  </w:style>
  <w:style w:type="character" w:styleId="Hiperhivatkozs">
    <w:name w:val="Hyperlink"/>
    <w:rsid w:val="007377D3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4641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46416"/>
    <w:rPr>
      <w:rFonts w:ascii="Segoe UI" w:eastAsia="Times New Roman" w:hAnsi="Segoe UI" w:cs="Segoe UI"/>
      <w:sz w:val="18"/>
      <w:szCs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D79E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D79E2"/>
    <w:rPr>
      <w:rFonts w:ascii="Garamond" w:eastAsia="Times New Roman" w:hAnsi="Garamond" w:cs="Times New Roman"/>
      <w:sz w:val="28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D79E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D79E2"/>
    <w:rPr>
      <w:rFonts w:ascii="Garamond" w:eastAsia="Times New Roman" w:hAnsi="Garamond" w:cs="Times New Roman"/>
      <w:sz w:val="28"/>
      <w:szCs w:val="20"/>
      <w:lang w:eastAsia="hu-HU"/>
    </w:rPr>
  </w:style>
  <w:style w:type="paragraph" w:styleId="Szvegtrzs">
    <w:name w:val="Body Text"/>
    <w:basedOn w:val="Norml"/>
    <w:link w:val="SzvegtrzsChar"/>
    <w:semiHidden/>
    <w:rsid w:val="004D0603"/>
    <w:rPr>
      <w:rFonts w:ascii="Times New Roman" w:hAnsi="Times New Roman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semiHidden/>
    <w:rsid w:val="004D0603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2550B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550BC"/>
    <w:rPr>
      <w:sz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550BC"/>
    <w:rPr>
      <w:rFonts w:ascii="Garamond" w:eastAsia="Times New Roman" w:hAnsi="Garamond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550B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550BC"/>
    <w:rPr>
      <w:rFonts w:ascii="Garamond" w:eastAsia="Times New Roman" w:hAnsi="Garamond" w:cs="Times New Roman"/>
      <w:b/>
      <w:b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2550BC"/>
    <w:pPr>
      <w:spacing w:after="0" w:line="240" w:lineRule="auto"/>
    </w:pPr>
    <w:rPr>
      <w:rFonts w:ascii="Garamond" w:eastAsia="Times New Roman" w:hAnsi="Garamond" w:cs="Times New Roman"/>
      <w:sz w:val="28"/>
      <w:szCs w:val="20"/>
      <w:lang w:eastAsia="hu-HU"/>
    </w:rPr>
  </w:style>
  <w:style w:type="paragraph" w:customStyle="1" w:styleId="Standard">
    <w:name w:val="Standard"/>
    <w:rsid w:val="006A0673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1"/>
      <w:szCs w:val="24"/>
      <w:lang w:eastAsia="zh-CN" w:bidi="hi-IN"/>
    </w:rPr>
  </w:style>
  <w:style w:type="paragraph" w:styleId="NormlWeb">
    <w:name w:val="Normal (Web)"/>
    <w:basedOn w:val="Norml"/>
    <w:uiPriority w:val="99"/>
    <w:unhideWhenUsed/>
    <w:rsid w:val="006A067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Kiemels2">
    <w:name w:val="Strong"/>
    <w:uiPriority w:val="22"/>
    <w:qFormat/>
    <w:rsid w:val="006A0673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DF4BC5"/>
    <w:pPr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DF4BC5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DF4BC5"/>
    <w:rPr>
      <w:vertAlign w:val="superscript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814713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8D1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11.png"/><Relationship Id="rId7" Type="http://schemas.openxmlformats.org/officeDocument/2006/relationships/image" Target="media/image15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14.jpe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CE38A-E231-4E16-8A34-DA02B7AFA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4032</Words>
  <Characters>27824</Characters>
  <Application>Microsoft Office Word</Application>
  <DocSecurity>0</DocSecurity>
  <Lines>231</Lines>
  <Paragraphs>63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RemesG</dc:creator>
  <cp:keywords/>
  <dc:description/>
  <cp:lastModifiedBy>Dukay Roberta</cp:lastModifiedBy>
  <cp:revision>2</cp:revision>
  <cp:lastPrinted>2018-12-06T14:17:00Z</cp:lastPrinted>
  <dcterms:created xsi:type="dcterms:W3CDTF">2021-12-06T14:46:00Z</dcterms:created>
  <dcterms:modified xsi:type="dcterms:W3CDTF">2021-12-06T14:46:00Z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Érvényességi idő">
    <vt:filetime>2025-11-22T08:32:22Z</vt:filetime>
  </property>
  <property fmtid="{D5CDD505-2E9C-101B-9397-08002B2CF9AE}" pid="3" name="Érvényességet beállító">
    <vt:lpwstr>binderi</vt:lpwstr>
  </property>
  <property fmtid="{D5CDD505-2E9C-101B-9397-08002B2CF9AE}" pid="4" name="Érvényességi idő első beállítása">
    <vt:filetime>2020-11-22T08:32:23Z</vt:filetime>
  </property>
  <property fmtid="{D5CDD505-2E9C-101B-9397-08002B2CF9AE}" pid="5" name="MSIP_Label_b0d11092-50c9-4e74-84b5-b1af078dc3d0_Enabled">
    <vt:lpwstr>True</vt:lpwstr>
  </property>
  <property fmtid="{D5CDD505-2E9C-101B-9397-08002B2CF9AE}" pid="6" name="MSIP_Label_b0d11092-50c9-4e74-84b5-b1af078dc3d0_SiteId">
    <vt:lpwstr>97c01ef8-0264-4eef-9c08-fb4a9ba1c0db</vt:lpwstr>
  </property>
  <property fmtid="{D5CDD505-2E9C-101B-9397-08002B2CF9AE}" pid="7" name="MSIP_Label_b0d11092-50c9-4e74-84b5-b1af078dc3d0_Owner">
    <vt:lpwstr>binderi@mnb.hu</vt:lpwstr>
  </property>
  <property fmtid="{D5CDD505-2E9C-101B-9397-08002B2CF9AE}" pid="8" name="MSIP_Label_b0d11092-50c9-4e74-84b5-b1af078dc3d0_SetDate">
    <vt:lpwstr>2020-11-22T08:34:31.7928393Z</vt:lpwstr>
  </property>
  <property fmtid="{D5CDD505-2E9C-101B-9397-08002B2CF9AE}" pid="9" name="MSIP_Label_b0d11092-50c9-4e74-84b5-b1af078dc3d0_Name">
    <vt:lpwstr>Protected</vt:lpwstr>
  </property>
  <property fmtid="{D5CDD505-2E9C-101B-9397-08002B2CF9AE}" pid="10" name="MSIP_Label_b0d11092-50c9-4e74-84b5-b1af078dc3d0_Application">
    <vt:lpwstr>Microsoft Azure Information Protection</vt:lpwstr>
  </property>
  <property fmtid="{D5CDD505-2E9C-101B-9397-08002B2CF9AE}" pid="11" name="MSIP_Label_b0d11092-50c9-4e74-84b5-b1af078dc3d0_ActionId">
    <vt:lpwstr>41a4c252-301f-4a34-b324-ad77b520e1cb</vt:lpwstr>
  </property>
  <property fmtid="{D5CDD505-2E9C-101B-9397-08002B2CF9AE}" pid="12" name="MSIP_Label_b0d11092-50c9-4e74-84b5-b1af078dc3d0_Extended_MSFT_Method">
    <vt:lpwstr>Automatic</vt:lpwstr>
  </property>
  <property fmtid="{D5CDD505-2E9C-101B-9397-08002B2CF9AE}" pid="13" name="Sensitivity">
    <vt:lpwstr>Protected</vt:lpwstr>
  </property>
</Properties>
</file>