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DE5E" w14:textId="77777777" w:rsidR="003F21D6" w:rsidRPr="00C65F72" w:rsidRDefault="00E613D3" w:rsidP="00AC2E7F">
      <w:pPr>
        <w:jc w:val="left"/>
        <w:rPr>
          <w:rFonts w:ascii="Book Antiqua" w:hAnsi="Book Antiqua" w:cs="Open Sans"/>
          <w:b/>
          <w:sz w:val="24"/>
          <w:szCs w:val="24"/>
        </w:rPr>
      </w:pPr>
      <w:r w:rsidRPr="00C65F7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64570B1" wp14:editId="3100ECA0">
            <wp:simplePos x="0" y="0"/>
            <wp:positionH relativeFrom="margin">
              <wp:posOffset>1033145</wp:posOffset>
            </wp:positionH>
            <wp:positionV relativeFrom="paragraph">
              <wp:posOffset>76835</wp:posOffset>
            </wp:positionV>
            <wp:extent cx="1152525" cy="75247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2F" w:rsidRPr="00C65F7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B82840E" wp14:editId="2910BCF8">
            <wp:simplePos x="0" y="0"/>
            <wp:positionH relativeFrom="column">
              <wp:posOffset>2068830</wp:posOffset>
            </wp:positionH>
            <wp:positionV relativeFrom="paragraph">
              <wp:posOffset>113030</wp:posOffset>
            </wp:positionV>
            <wp:extent cx="1137920" cy="598805"/>
            <wp:effectExtent l="0" t="0" r="508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52F" w:rsidRPr="00C65F7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22E2C32" wp14:editId="4062332F">
            <wp:simplePos x="0" y="0"/>
            <wp:positionH relativeFrom="column">
              <wp:posOffset>5335905</wp:posOffset>
            </wp:positionH>
            <wp:positionV relativeFrom="paragraph">
              <wp:posOffset>124460</wp:posOffset>
            </wp:positionV>
            <wp:extent cx="535940" cy="53594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jmnb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2F" w:rsidRPr="00C65F7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25274AF" wp14:editId="0053298E">
            <wp:simplePos x="0" y="0"/>
            <wp:positionH relativeFrom="column">
              <wp:posOffset>4144645</wp:posOffset>
            </wp:positionH>
            <wp:positionV relativeFrom="paragraph">
              <wp:posOffset>173355</wp:posOffset>
            </wp:positionV>
            <wp:extent cx="1122045" cy="438150"/>
            <wp:effectExtent l="0" t="0" r="1905" b="0"/>
            <wp:wrapNone/>
            <wp:docPr id="1" name="Kép 1" descr="obh_logo_ro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h_logo_rov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2F" w:rsidRPr="00C65F7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16DE71C" wp14:editId="4047CB54">
            <wp:simplePos x="0" y="0"/>
            <wp:positionH relativeFrom="column">
              <wp:posOffset>3182620</wp:posOffset>
            </wp:positionH>
            <wp:positionV relativeFrom="paragraph">
              <wp:posOffset>73025</wp:posOffset>
            </wp:positionV>
            <wp:extent cx="993775" cy="640080"/>
            <wp:effectExtent l="0" t="0" r="0" b="762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2F" w:rsidRPr="00C65F7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503987" wp14:editId="29BBBE32">
            <wp:simplePos x="0" y="0"/>
            <wp:positionH relativeFrom="column">
              <wp:posOffset>635000</wp:posOffset>
            </wp:positionH>
            <wp:positionV relativeFrom="paragraph">
              <wp:posOffset>120015</wp:posOffset>
            </wp:positionV>
            <wp:extent cx="397510" cy="702945"/>
            <wp:effectExtent l="0" t="0" r="2540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2F" w:rsidRPr="00C65F7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7C48F3" wp14:editId="15076261">
            <wp:simplePos x="0" y="0"/>
            <wp:positionH relativeFrom="column">
              <wp:posOffset>-50165</wp:posOffset>
            </wp:positionH>
            <wp:positionV relativeFrom="paragraph">
              <wp:posOffset>120015</wp:posOffset>
            </wp:positionV>
            <wp:extent cx="608330" cy="643255"/>
            <wp:effectExtent l="0" t="0" r="1270" b="4445"/>
            <wp:wrapNone/>
            <wp:docPr id="4" name="Kép 4" descr="kur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ia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1D6" w:rsidRPr="00C65F72">
        <w:rPr>
          <w:rFonts w:ascii="Book Antiqua" w:hAnsi="Book Antiqua"/>
          <w:sz w:val="24"/>
          <w:szCs w:val="24"/>
        </w:rPr>
        <w:t xml:space="preserve">                                                        </w:t>
      </w:r>
    </w:p>
    <w:p w14:paraId="49909F0E" w14:textId="77777777" w:rsidR="007377D3" w:rsidRPr="00C65F72" w:rsidRDefault="007377D3" w:rsidP="003F21D6">
      <w:pPr>
        <w:jc w:val="center"/>
        <w:rPr>
          <w:rFonts w:ascii="Book Antiqua" w:hAnsi="Book Antiqua" w:cs="Open Sans"/>
          <w:b/>
          <w:sz w:val="24"/>
          <w:szCs w:val="24"/>
        </w:rPr>
      </w:pPr>
    </w:p>
    <w:p w14:paraId="4C32ACEF" w14:textId="77777777" w:rsidR="008C2D3F" w:rsidRPr="00C65F72" w:rsidRDefault="008C2D3F" w:rsidP="004F6C1F">
      <w:pPr>
        <w:jc w:val="center"/>
        <w:rPr>
          <w:rFonts w:ascii="Book Antiqua" w:hAnsi="Book Antiqua" w:cs="Open Sans"/>
          <w:b/>
          <w:sz w:val="24"/>
          <w:szCs w:val="24"/>
        </w:rPr>
      </w:pPr>
    </w:p>
    <w:p w14:paraId="4F21264A" w14:textId="77777777" w:rsidR="008C2D3F" w:rsidRPr="00C65F72" w:rsidRDefault="008C2D3F" w:rsidP="004F6C1F">
      <w:pPr>
        <w:jc w:val="center"/>
        <w:rPr>
          <w:rFonts w:ascii="Book Antiqua" w:hAnsi="Book Antiqua" w:cs="Open Sans"/>
          <w:b/>
          <w:sz w:val="24"/>
          <w:szCs w:val="24"/>
        </w:rPr>
      </w:pPr>
    </w:p>
    <w:p w14:paraId="73DD58E5" w14:textId="3F14C443" w:rsidR="00E66AC0" w:rsidRPr="00AC28A3" w:rsidRDefault="00D34F2E" w:rsidP="006E3CE5">
      <w:pPr>
        <w:spacing w:before="120" w:after="120"/>
        <w:ind w:right="539"/>
        <w:jc w:val="center"/>
        <w:rPr>
          <w:rFonts w:asciiTheme="majorHAnsi" w:hAnsiTheme="majorHAnsi"/>
          <w:b/>
          <w:szCs w:val="28"/>
        </w:rPr>
      </w:pPr>
      <w:r>
        <w:rPr>
          <w:rFonts w:ascii="Book Antiqua" w:hAnsi="Book Antiqua" w:cs="Open Sans"/>
          <w:b/>
          <w:sz w:val="24"/>
          <w:szCs w:val="24"/>
        </w:rPr>
        <w:br/>
      </w:r>
      <w:r w:rsidR="00AC28A3">
        <w:rPr>
          <w:rFonts w:asciiTheme="majorHAnsi" w:hAnsiTheme="majorHAnsi"/>
          <w:b/>
          <w:szCs w:val="28"/>
        </w:rPr>
        <w:t>Összefogás a közélet tisztasága érdekében</w:t>
      </w:r>
    </w:p>
    <w:p w14:paraId="7F0129B9" w14:textId="541AF50B" w:rsidR="00E66AC0" w:rsidRPr="008E67BE" w:rsidRDefault="0030035A" w:rsidP="001B1666">
      <w:pPr>
        <w:spacing w:before="120" w:after="120"/>
        <w:ind w:right="539"/>
        <w:rPr>
          <w:rFonts w:asciiTheme="majorHAnsi" w:hAnsiTheme="majorHAnsi"/>
          <w:sz w:val="20"/>
        </w:rPr>
      </w:pPr>
      <w:r w:rsidRPr="00AC28A3">
        <w:rPr>
          <w:rFonts w:asciiTheme="majorHAnsi" w:hAnsiTheme="majorHAnsi"/>
          <w:sz w:val="20"/>
        </w:rPr>
        <w:t>A Belügyminisztérium,</w:t>
      </w:r>
      <w:r w:rsidR="00F57D50">
        <w:rPr>
          <w:rFonts w:asciiTheme="majorHAnsi" w:hAnsiTheme="majorHAnsi"/>
          <w:sz w:val="20"/>
        </w:rPr>
        <w:t xml:space="preserve"> a Kúria,</w:t>
      </w:r>
      <w:r w:rsidRPr="00AC28A3">
        <w:rPr>
          <w:rFonts w:asciiTheme="majorHAnsi" w:hAnsiTheme="majorHAnsi"/>
          <w:sz w:val="20"/>
        </w:rPr>
        <w:t xml:space="preserve"> az Állami Számvevőszék,</w:t>
      </w:r>
      <w:r w:rsidR="00F57D50">
        <w:rPr>
          <w:rFonts w:asciiTheme="majorHAnsi" w:hAnsiTheme="majorHAnsi"/>
          <w:sz w:val="20"/>
        </w:rPr>
        <w:t xml:space="preserve"> a Legfőbb Ügyészség,</w:t>
      </w:r>
      <w:r w:rsidRPr="00AC28A3">
        <w:rPr>
          <w:rFonts w:asciiTheme="majorHAnsi" w:hAnsiTheme="majorHAnsi"/>
          <w:sz w:val="20"/>
        </w:rPr>
        <w:t xml:space="preserve"> az </w:t>
      </w:r>
      <w:r w:rsidR="00E66AC0" w:rsidRPr="00AC28A3">
        <w:rPr>
          <w:rFonts w:asciiTheme="majorHAnsi" w:hAnsiTheme="majorHAnsi"/>
          <w:sz w:val="20"/>
        </w:rPr>
        <w:t>Országos Bírósági Hivatal</w:t>
      </w:r>
      <w:r w:rsidR="00F57D50">
        <w:rPr>
          <w:rFonts w:asciiTheme="majorHAnsi" w:hAnsiTheme="majorHAnsi"/>
          <w:sz w:val="20"/>
        </w:rPr>
        <w:t>, a Közbeszerzési Hatóság és a Ma</w:t>
      </w:r>
      <w:r w:rsidRPr="00AC28A3">
        <w:rPr>
          <w:rFonts w:asciiTheme="majorHAnsi" w:hAnsiTheme="majorHAnsi"/>
          <w:sz w:val="20"/>
        </w:rPr>
        <w:t>gyar Nemzeti Bank</w:t>
      </w:r>
      <w:r w:rsidR="00E66AC0" w:rsidRPr="00AC28A3">
        <w:rPr>
          <w:rFonts w:asciiTheme="majorHAnsi" w:hAnsiTheme="majorHAnsi"/>
          <w:sz w:val="20"/>
        </w:rPr>
        <w:t xml:space="preserve"> közös értékelése az elmúlt év </w:t>
      </w:r>
      <w:r w:rsidR="00601B27" w:rsidRPr="00AC28A3">
        <w:rPr>
          <w:rFonts w:asciiTheme="majorHAnsi" w:hAnsiTheme="majorHAnsi"/>
          <w:sz w:val="20"/>
        </w:rPr>
        <w:t>korrupcióellenes</w:t>
      </w:r>
      <w:r w:rsidR="009A7CF1" w:rsidRPr="00AC28A3">
        <w:rPr>
          <w:rFonts w:asciiTheme="majorHAnsi" w:hAnsiTheme="majorHAnsi"/>
          <w:sz w:val="20"/>
        </w:rPr>
        <w:t xml:space="preserve"> </w:t>
      </w:r>
      <w:r w:rsidR="00601B27" w:rsidRPr="00AC28A3">
        <w:rPr>
          <w:rFonts w:asciiTheme="majorHAnsi" w:hAnsiTheme="majorHAnsi"/>
          <w:sz w:val="20"/>
        </w:rPr>
        <w:t>tevékenység</w:t>
      </w:r>
      <w:r w:rsidR="009A7CF1" w:rsidRPr="00AC28A3">
        <w:rPr>
          <w:rFonts w:asciiTheme="majorHAnsi" w:hAnsiTheme="majorHAnsi"/>
          <w:sz w:val="20"/>
        </w:rPr>
        <w:t>éről</w:t>
      </w:r>
    </w:p>
    <w:p w14:paraId="3D5E5693" w14:textId="2646F26C" w:rsidR="007730F2" w:rsidRDefault="006E3CE5" w:rsidP="00D30303">
      <w:pPr>
        <w:spacing w:before="240"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Budapest, 2019</w:t>
      </w:r>
      <w:r w:rsidR="00D67535" w:rsidRPr="00AC28A3">
        <w:rPr>
          <w:rFonts w:asciiTheme="majorHAnsi" w:hAnsiTheme="majorHAnsi"/>
          <w:b/>
          <w:sz w:val="22"/>
          <w:szCs w:val="22"/>
        </w:rPr>
        <w:t>. december 4.</w:t>
      </w:r>
      <w:r w:rsidR="009A7CF1" w:rsidRPr="00AC28A3">
        <w:rPr>
          <w:rFonts w:asciiTheme="majorHAnsi" w:hAnsiTheme="majorHAnsi"/>
          <w:sz w:val="22"/>
          <w:szCs w:val="22"/>
        </w:rPr>
        <w:t xml:space="preserve"> </w:t>
      </w:r>
      <w:r w:rsidR="007730F2">
        <w:rPr>
          <w:rFonts w:asciiTheme="majorHAnsi" w:hAnsiTheme="majorHAnsi"/>
          <w:sz w:val="22"/>
          <w:szCs w:val="22"/>
        </w:rPr>
        <w:t>–</w:t>
      </w:r>
      <w:r w:rsidR="009A7CF1" w:rsidRPr="00AC28A3">
        <w:rPr>
          <w:rFonts w:asciiTheme="majorHAnsi" w:hAnsiTheme="majorHAnsi"/>
          <w:sz w:val="22"/>
          <w:szCs w:val="22"/>
        </w:rPr>
        <w:t xml:space="preserve"> </w:t>
      </w:r>
      <w:r w:rsidR="007730F2" w:rsidRPr="00DC1DB5">
        <w:rPr>
          <w:rFonts w:asciiTheme="majorHAnsi" w:hAnsiTheme="majorHAnsi"/>
          <w:b/>
          <w:sz w:val="22"/>
          <w:szCs w:val="22"/>
        </w:rPr>
        <w:t xml:space="preserve">A </w:t>
      </w:r>
      <w:r w:rsidR="007730F2" w:rsidRPr="00AC28A3">
        <w:rPr>
          <w:rFonts w:asciiTheme="majorHAnsi" w:hAnsiTheme="majorHAnsi"/>
          <w:b/>
          <w:sz w:val="22"/>
          <w:szCs w:val="22"/>
        </w:rPr>
        <w:t>korrupció ellen társadalmi összefogásra van szükség a közélet tisztasága érdekében</w:t>
      </w:r>
      <w:r w:rsidR="007730F2">
        <w:rPr>
          <w:rFonts w:asciiTheme="majorHAnsi" w:hAnsiTheme="majorHAnsi"/>
          <w:b/>
          <w:sz w:val="22"/>
          <w:szCs w:val="22"/>
        </w:rPr>
        <w:t xml:space="preserve"> – hangsúlyozzák Magyarország állami szerveinek vezetői.</w:t>
      </w:r>
    </w:p>
    <w:p w14:paraId="45A6EC66" w14:textId="798C8915" w:rsidR="00C36BD6" w:rsidRPr="00AC28A3" w:rsidRDefault="009A7CF1" w:rsidP="00D30303">
      <w:pPr>
        <w:spacing w:before="240" w:after="120"/>
        <w:rPr>
          <w:rFonts w:asciiTheme="majorHAnsi" w:hAnsiTheme="majorHAnsi"/>
          <w:sz w:val="22"/>
          <w:szCs w:val="22"/>
        </w:rPr>
      </w:pPr>
      <w:r w:rsidRPr="00AC28A3">
        <w:rPr>
          <w:rFonts w:asciiTheme="majorHAnsi" w:hAnsiTheme="majorHAnsi"/>
          <w:sz w:val="22"/>
          <w:szCs w:val="22"/>
        </w:rPr>
        <w:t>A</w:t>
      </w:r>
      <w:r w:rsidR="00E66AC0" w:rsidRPr="00AC28A3">
        <w:rPr>
          <w:rFonts w:asciiTheme="majorHAnsi" w:hAnsiTheme="majorHAnsi"/>
          <w:sz w:val="22"/>
          <w:szCs w:val="22"/>
        </w:rPr>
        <w:t>z Állami Számvevőszék kezdeményezése alapjá</w:t>
      </w:r>
      <w:r w:rsidR="00A96BC9" w:rsidRPr="00AC28A3">
        <w:rPr>
          <w:rFonts w:asciiTheme="majorHAnsi" w:hAnsiTheme="majorHAnsi"/>
          <w:sz w:val="22"/>
          <w:szCs w:val="22"/>
        </w:rPr>
        <w:t>n – a közigazgatási és igazság</w:t>
      </w:r>
      <w:r w:rsidR="00E66AC0" w:rsidRPr="00AC28A3">
        <w:rPr>
          <w:rFonts w:asciiTheme="majorHAnsi" w:hAnsiTheme="majorHAnsi"/>
          <w:sz w:val="22"/>
          <w:szCs w:val="22"/>
        </w:rPr>
        <w:t>ügyi miniszter, a legfőbb ügyész, a Legfelsőbb Bíróság elnöke és az Állami Számvevőszék elnöke közös nyilatkozatot írtak alá, amelyben erkölcsi kötelezettséget vállaltak az általuk vezetett állami szervek korrupcióval szembeni ellenálló képességének erősítésére, a korrupcióellenes eszköztár fejlesztésére</w:t>
      </w:r>
      <w:r w:rsidRPr="00AC28A3">
        <w:rPr>
          <w:rFonts w:asciiTheme="majorHAnsi" w:hAnsiTheme="majorHAnsi"/>
          <w:sz w:val="22"/>
          <w:szCs w:val="22"/>
        </w:rPr>
        <w:t xml:space="preserve"> 2011. november 18-án</w:t>
      </w:r>
      <w:r w:rsidR="00DC1DB5">
        <w:rPr>
          <w:rFonts w:asciiTheme="majorHAnsi" w:hAnsiTheme="majorHAnsi"/>
          <w:sz w:val="22"/>
          <w:szCs w:val="22"/>
        </w:rPr>
        <w:t>, Budapesten</w:t>
      </w:r>
      <w:r w:rsidR="00E66AC0" w:rsidRPr="00AC28A3">
        <w:rPr>
          <w:rFonts w:asciiTheme="majorHAnsi" w:hAnsiTheme="majorHAnsi"/>
          <w:sz w:val="22"/>
          <w:szCs w:val="22"/>
        </w:rPr>
        <w:t xml:space="preserve">. Az összefogáshoz 2012-ben csatlakozott az Országos Bírósági Hivatal, majd 2014-ben a Belügyminisztérium. 2016-ban – az együttműködés ötödik évfordulóján – </w:t>
      </w:r>
      <w:r w:rsidR="00C36BD6" w:rsidRPr="00AC28A3">
        <w:rPr>
          <w:rFonts w:asciiTheme="majorHAnsi" w:hAnsiTheme="majorHAnsi"/>
          <w:sz w:val="22"/>
          <w:szCs w:val="22"/>
        </w:rPr>
        <w:t xml:space="preserve">csatlakozott </w:t>
      </w:r>
      <w:r w:rsidR="00E66AC0" w:rsidRPr="00AC28A3">
        <w:rPr>
          <w:rFonts w:asciiTheme="majorHAnsi" w:hAnsiTheme="majorHAnsi"/>
          <w:sz w:val="22"/>
          <w:szCs w:val="22"/>
        </w:rPr>
        <w:t>a Közbeszerzési Hatóság és a Magyar N</w:t>
      </w:r>
      <w:r w:rsidR="00711731" w:rsidRPr="00AC28A3">
        <w:rPr>
          <w:rFonts w:asciiTheme="majorHAnsi" w:hAnsiTheme="majorHAnsi"/>
          <w:sz w:val="22"/>
          <w:szCs w:val="22"/>
        </w:rPr>
        <w:t xml:space="preserve">emzeti Bank. </w:t>
      </w:r>
    </w:p>
    <w:p w14:paraId="7BBA77C0" w14:textId="0AB8D3F2" w:rsidR="00D67535" w:rsidRPr="00AC28A3" w:rsidRDefault="00D67535" w:rsidP="008E67BE">
      <w:pPr>
        <w:spacing w:before="120" w:after="120"/>
        <w:rPr>
          <w:rFonts w:asciiTheme="majorHAnsi" w:hAnsiTheme="majorHAnsi"/>
          <w:sz w:val="22"/>
          <w:szCs w:val="22"/>
        </w:rPr>
      </w:pPr>
      <w:r w:rsidRPr="00AC28A3">
        <w:rPr>
          <w:rFonts w:asciiTheme="majorHAnsi" w:hAnsiTheme="majorHAnsi"/>
          <w:sz w:val="22"/>
          <w:szCs w:val="22"/>
        </w:rPr>
        <w:t>2019. december 4-én, nyolc</w:t>
      </w:r>
      <w:r w:rsidR="00E66AC0" w:rsidRPr="00AC28A3">
        <w:rPr>
          <w:rFonts w:asciiTheme="majorHAnsi" w:hAnsiTheme="majorHAnsi"/>
          <w:sz w:val="22"/>
          <w:szCs w:val="22"/>
        </w:rPr>
        <w:t xml:space="preserve"> évvel a közös nyilatkozat aláírását követően</w:t>
      </w:r>
      <w:r w:rsidR="00711731" w:rsidRPr="00AC28A3">
        <w:rPr>
          <w:rFonts w:asciiTheme="majorHAnsi" w:hAnsiTheme="majorHAnsi"/>
          <w:sz w:val="22"/>
          <w:szCs w:val="22"/>
        </w:rPr>
        <w:t xml:space="preserve"> az</w:t>
      </w:r>
      <w:r w:rsidR="00D30303">
        <w:rPr>
          <w:rFonts w:asciiTheme="majorHAnsi" w:hAnsiTheme="majorHAnsi"/>
          <w:sz w:val="22"/>
          <w:szCs w:val="22"/>
        </w:rPr>
        <w:t xml:space="preserve"> együttműködő</w:t>
      </w:r>
      <w:r w:rsidR="00711731" w:rsidRPr="00AC28A3">
        <w:rPr>
          <w:rFonts w:asciiTheme="majorHAnsi" w:hAnsiTheme="majorHAnsi"/>
          <w:sz w:val="22"/>
          <w:szCs w:val="22"/>
        </w:rPr>
        <w:t xml:space="preserve"> intézmények</w:t>
      </w:r>
      <w:r w:rsidR="00E66AC0" w:rsidRPr="00AC28A3">
        <w:rPr>
          <w:rFonts w:asciiTheme="majorHAnsi" w:hAnsiTheme="majorHAnsi"/>
          <w:sz w:val="22"/>
          <w:szCs w:val="22"/>
        </w:rPr>
        <w:t xml:space="preserve"> </w:t>
      </w:r>
      <w:r w:rsidR="00A704C7" w:rsidRPr="00AC28A3">
        <w:rPr>
          <w:rFonts w:asciiTheme="majorHAnsi" w:hAnsiTheme="majorHAnsi"/>
          <w:sz w:val="22"/>
          <w:szCs w:val="22"/>
        </w:rPr>
        <w:t xml:space="preserve">a </w:t>
      </w:r>
      <w:r w:rsidRPr="00AC28A3">
        <w:rPr>
          <w:rFonts w:asciiTheme="majorHAnsi" w:hAnsiTheme="majorHAnsi"/>
          <w:sz w:val="22"/>
          <w:szCs w:val="22"/>
        </w:rPr>
        <w:t>Kúria</w:t>
      </w:r>
      <w:r w:rsidR="00A704C7" w:rsidRPr="00AC28A3">
        <w:rPr>
          <w:rFonts w:asciiTheme="majorHAnsi" w:hAnsiTheme="majorHAnsi"/>
          <w:sz w:val="22"/>
          <w:szCs w:val="22"/>
        </w:rPr>
        <w:t xml:space="preserve"> szervezésében </w:t>
      </w:r>
      <w:r w:rsidRPr="00AC28A3">
        <w:rPr>
          <w:rFonts w:asciiTheme="majorHAnsi" w:hAnsiTheme="majorHAnsi"/>
          <w:sz w:val="22"/>
          <w:szCs w:val="22"/>
        </w:rPr>
        <w:t>az Igazságügyi Palotában</w:t>
      </w:r>
      <w:r w:rsidR="00E66AC0" w:rsidRPr="00AC28A3">
        <w:rPr>
          <w:rFonts w:asciiTheme="majorHAnsi" w:hAnsiTheme="majorHAnsi"/>
          <w:sz w:val="22"/>
          <w:szCs w:val="22"/>
        </w:rPr>
        <w:t xml:space="preserve"> értékelték </w:t>
      </w:r>
      <w:r w:rsidR="00A17B35">
        <w:rPr>
          <w:rFonts w:asciiTheme="majorHAnsi" w:hAnsiTheme="majorHAnsi"/>
          <w:sz w:val="22"/>
          <w:szCs w:val="22"/>
        </w:rPr>
        <w:t>korrupció megelőzése és visszaszorítása érdekében végzett</w:t>
      </w:r>
      <w:r w:rsidRPr="00AC28A3">
        <w:rPr>
          <w:rFonts w:asciiTheme="majorHAnsi" w:hAnsiTheme="majorHAnsi"/>
          <w:sz w:val="22"/>
          <w:szCs w:val="22"/>
        </w:rPr>
        <w:t xml:space="preserve"> tevékenységük </w:t>
      </w:r>
      <w:r w:rsidR="00A17B35">
        <w:rPr>
          <w:rFonts w:asciiTheme="majorHAnsi" w:hAnsiTheme="majorHAnsi"/>
          <w:sz w:val="22"/>
          <w:szCs w:val="22"/>
        </w:rPr>
        <w:t>eredményeit.</w:t>
      </w:r>
    </w:p>
    <w:p w14:paraId="3B90F710" w14:textId="64C08407" w:rsidR="00D67535" w:rsidRPr="00AC28A3" w:rsidRDefault="00D67535" w:rsidP="00D67535">
      <w:pPr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AC28A3">
        <w:rPr>
          <w:rFonts w:asciiTheme="majorHAnsi" w:hAnsiTheme="majorHAnsi"/>
          <w:sz w:val="22"/>
          <w:szCs w:val="22"/>
        </w:rPr>
        <w:t>* * *</w:t>
      </w:r>
    </w:p>
    <w:p w14:paraId="3F304C93" w14:textId="51B5E24A" w:rsidR="00D67535" w:rsidRPr="00AC28A3" w:rsidRDefault="00D67535" w:rsidP="00894155">
      <w:pPr>
        <w:rPr>
          <w:rFonts w:asciiTheme="majorHAnsi" w:hAnsiTheme="majorHAnsi"/>
          <w:b/>
          <w:sz w:val="22"/>
          <w:szCs w:val="22"/>
        </w:rPr>
      </w:pPr>
      <w:r w:rsidRPr="006E3CE5">
        <w:rPr>
          <w:rFonts w:asciiTheme="majorHAnsi" w:hAnsiTheme="majorHAnsi"/>
          <w:b/>
          <w:sz w:val="22"/>
          <w:szCs w:val="22"/>
        </w:rPr>
        <w:t xml:space="preserve">Az </w:t>
      </w:r>
      <w:r w:rsidR="00DC1DB5">
        <w:rPr>
          <w:rFonts w:asciiTheme="majorHAnsi" w:hAnsiTheme="majorHAnsi"/>
          <w:b/>
          <w:sz w:val="22"/>
          <w:szCs w:val="22"/>
        </w:rPr>
        <w:t>integritás elősegítésében együttműködő</w:t>
      </w:r>
      <w:r w:rsidR="00AC28A3" w:rsidRPr="006E3CE5">
        <w:rPr>
          <w:rFonts w:asciiTheme="majorHAnsi" w:hAnsiTheme="majorHAnsi"/>
          <w:b/>
          <w:sz w:val="22"/>
          <w:szCs w:val="22"/>
        </w:rPr>
        <w:t xml:space="preserve"> szervezetek </w:t>
      </w:r>
      <w:r w:rsidR="00D30303">
        <w:rPr>
          <w:rFonts w:asciiTheme="majorHAnsi" w:hAnsiTheme="majorHAnsi"/>
          <w:b/>
          <w:sz w:val="22"/>
          <w:szCs w:val="22"/>
        </w:rPr>
        <w:t>leszögezik:</w:t>
      </w:r>
      <w:r w:rsidRPr="00AC28A3">
        <w:rPr>
          <w:rFonts w:asciiTheme="majorHAnsi" w:hAnsiTheme="majorHAnsi"/>
          <w:sz w:val="22"/>
          <w:szCs w:val="22"/>
        </w:rPr>
        <w:t xml:space="preserve"> Magyarország Alaptörvénye (39. cikke (2)) előírja, hogy </w:t>
      </w:r>
      <w:r w:rsidRPr="00AC28A3">
        <w:rPr>
          <w:rFonts w:asciiTheme="majorHAnsi" w:hAnsiTheme="majorHAnsi"/>
          <w:i/>
          <w:sz w:val="22"/>
          <w:szCs w:val="22"/>
        </w:rPr>
        <w:t>„a közpénzekkel gazdálkodó minden szervezet köteles a nyilvánosság előtt elszámolni a közpénzekre vonatkozó gazdálkodásával. A közpénzeket és a nemzeti vagyont az átláthatóság és a közélet tisztaságának elve szerint kell kezelni.”</w:t>
      </w:r>
      <w:r w:rsidRPr="00AC28A3">
        <w:rPr>
          <w:rFonts w:asciiTheme="majorHAnsi" w:hAnsiTheme="majorHAnsi"/>
          <w:sz w:val="22"/>
          <w:szCs w:val="22"/>
        </w:rPr>
        <w:t xml:space="preserve"> </w:t>
      </w:r>
      <w:r w:rsidRPr="00AC28A3">
        <w:rPr>
          <w:rFonts w:asciiTheme="majorHAnsi" w:hAnsiTheme="majorHAnsi"/>
          <w:b/>
          <w:sz w:val="22"/>
          <w:szCs w:val="22"/>
        </w:rPr>
        <w:t xml:space="preserve">Hazánkban tehát a jogállamiság alapját jelentő alkotmányos szinten jelenik meg a korrupció elleni fellépés. </w:t>
      </w:r>
      <w:r w:rsidRPr="00AC28A3">
        <w:rPr>
          <w:rFonts w:asciiTheme="majorHAnsi" w:hAnsiTheme="majorHAnsi"/>
          <w:sz w:val="22"/>
          <w:szCs w:val="22"/>
        </w:rPr>
        <w:t xml:space="preserve">Az Alaptörvény előírásaiból kiindulva a szervezeti integritás akkor valósul meg, ha a köztulajdont, közpénzt használó szervezetek, intézmények ezen elvek szerint működnek. Az integritás pedig a mindennapi élet szintjén azt jelenti, hogy </w:t>
      </w:r>
      <w:r w:rsidRPr="00AC28A3">
        <w:rPr>
          <w:rFonts w:asciiTheme="majorHAnsi" w:hAnsiTheme="majorHAnsi"/>
          <w:b/>
          <w:sz w:val="22"/>
          <w:szCs w:val="22"/>
        </w:rPr>
        <w:t>az állam olyan feltételeket teremt, hogy a korrupcióra lehetőséget adó helyzetek létre sem tudnak jönni.</w:t>
      </w:r>
      <w:r w:rsidRPr="00AC28A3">
        <w:rPr>
          <w:rFonts w:asciiTheme="majorHAnsi" w:hAnsiTheme="majorHAnsi"/>
          <w:sz w:val="22"/>
          <w:szCs w:val="22"/>
        </w:rPr>
        <w:t xml:space="preserve"> A korrupció megelőzéséből, illetve visszaszorításából k</w:t>
      </w:r>
      <w:r w:rsidR="00D30303">
        <w:rPr>
          <w:rFonts w:asciiTheme="majorHAnsi" w:hAnsiTheme="majorHAnsi"/>
          <w:sz w:val="22"/>
          <w:szCs w:val="22"/>
        </w:rPr>
        <w:t>övetkező számszerű eredmények</w:t>
      </w:r>
      <w:r w:rsidRPr="00AC28A3">
        <w:rPr>
          <w:rFonts w:asciiTheme="majorHAnsi" w:hAnsiTheme="majorHAnsi"/>
          <w:sz w:val="22"/>
          <w:szCs w:val="22"/>
        </w:rPr>
        <w:t xml:space="preserve"> – például a gazdaság növekedéséből és kifehérítéséből fakadó </w:t>
      </w:r>
      <w:r w:rsidR="00D30303">
        <w:rPr>
          <w:rFonts w:asciiTheme="majorHAnsi" w:hAnsiTheme="majorHAnsi"/>
          <w:sz w:val="22"/>
          <w:szCs w:val="22"/>
        </w:rPr>
        <w:t>pozitív folyamatok</w:t>
      </w:r>
      <w:r w:rsidRPr="00AC28A3">
        <w:rPr>
          <w:rFonts w:asciiTheme="majorHAnsi" w:hAnsiTheme="majorHAnsi"/>
          <w:sz w:val="22"/>
          <w:szCs w:val="22"/>
        </w:rPr>
        <w:t xml:space="preserve"> (foglalkoztatás bővülése, bérek növekedése, stb.), az egyszerűsöd</w:t>
      </w:r>
      <w:r w:rsidR="00D30303">
        <w:rPr>
          <w:rFonts w:asciiTheme="majorHAnsi" w:hAnsiTheme="majorHAnsi"/>
          <w:sz w:val="22"/>
          <w:szCs w:val="22"/>
        </w:rPr>
        <w:t>ő és kiszámítható adórendszer, az adminisztrációcsökkenés</w:t>
      </w:r>
      <w:r w:rsidRPr="00AC28A3">
        <w:rPr>
          <w:rFonts w:asciiTheme="majorHAnsi" w:hAnsiTheme="majorHAnsi"/>
          <w:sz w:val="22"/>
          <w:szCs w:val="22"/>
        </w:rPr>
        <w:t>, illetve az átlátható és zárt ügyintézés</w:t>
      </w:r>
      <w:r w:rsidR="00DC1DB5">
        <w:rPr>
          <w:rFonts w:asciiTheme="majorHAnsi" w:hAnsiTheme="majorHAnsi"/>
          <w:sz w:val="22"/>
          <w:szCs w:val="22"/>
        </w:rPr>
        <w:t xml:space="preserve">, valamint az igazságszolgáltatás korrupciót szankcionáló joggyakorlata </w:t>
      </w:r>
      <w:r w:rsidRPr="00AC28A3">
        <w:rPr>
          <w:rFonts w:asciiTheme="majorHAnsi" w:hAnsiTheme="majorHAnsi"/>
          <w:sz w:val="22"/>
          <w:szCs w:val="22"/>
        </w:rPr>
        <w:t xml:space="preserve">– </w:t>
      </w:r>
      <w:r w:rsidRPr="00AC28A3">
        <w:rPr>
          <w:rFonts w:asciiTheme="majorHAnsi" w:hAnsiTheme="majorHAnsi"/>
          <w:b/>
          <w:sz w:val="22"/>
          <w:szCs w:val="22"/>
        </w:rPr>
        <w:t>az állampolgároknak is előnyös</w:t>
      </w:r>
      <w:r w:rsidR="00D30303">
        <w:rPr>
          <w:rFonts w:asciiTheme="majorHAnsi" w:hAnsiTheme="majorHAnsi"/>
          <w:b/>
          <w:sz w:val="22"/>
          <w:szCs w:val="22"/>
        </w:rPr>
        <w:t>ek</w:t>
      </w:r>
      <w:r w:rsidRPr="00AC28A3">
        <w:rPr>
          <w:rFonts w:asciiTheme="majorHAnsi" w:hAnsiTheme="majorHAnsi"/>
          <w:sz w:val="22"/>
          <w:szCs w:val="22"/>
        </w:rPr>
        <w:t xml:space="preserve">, </w:t>
      </w:r>
      <w:r w:rsidR="00D30303">
        <w:rPr>
          <w:rFonts w:asciiTheme="majorHAnsi" w:hAnsiTheme="majorHAnsi"/>
          <w:sz w:val="22"/>
          <w:szCs w:val="22"/>
        </w:rPr>
        <w:t xml:space="preserve">ezáltal ugyanis </w:t>
      </w:r>
      <w:r w:rsidRPr="00AC28A3">
        <w:rPr>
          <w:rFonts w:asciiTheme="majorHAnsi" w:hAnsiTheme="majorHAnsi"/>
          <w:b/>
          <w:sz w:val="22"/>
          <w:szCs w:val="22"/>
        </w:rPr>
        <w:t>erősödik a pénzügyi és társadalmi biztonságuk, kiszámíthatóbbak és jobbak lesznek a mindennapi életkörülményeik.</w:t>
      </w:r>
      <w:r w:rsidRPr="00AC28A3">
        <w:rPr>
          <w:rFonts w:asciiTheme="majorHAnsi" w:hAnsiTheme="majorHAnsi"/>
          <w:sz w:val="22"/>
          <w:szCs w:val="22"/>
        </w:rPr>
        <w:t xml:space="preserve"> Mindebből az </w:t>
      </w:r>
      <w:r w:rsidR="00DC1DB5">
        <w:rPr>
          <w:rFonts w:asciiTheme="majorHAnsi" w:hAnsiTheme="majorHAnsi"/>
          <w:sz w:val="22"/>
          <w:szCs w:val="22"/>
        </w:rPr>
        <w:t xml:space="preserve">is </w:t>
      </w:r>
      <w:r w:rsidRPr="00AC28A3">
        <w:rPr>
          <w:rFonts w:asciiTheme="majorHAnsi" w:hAnsiTheme="majorHAnsi"/>
          <w:sz w:val="22"/>
          <w:szCs w:val="22"/>
        </w:rPr>
        <w:t xml:space="preserve">következik, hogy a korrupció ellen az egyes szervezetek és vezetőik, vagy akár egyének a saját környezetükben tudnak tenni az integritáselvű működéssel és vezetéssel, illetve szabálykövető gazdálkodással, valamint az etikus viselkedéssel. </w:t>
      </w:r>
    </w:p>
    <w:p w14:paraId="3AF66F28" w14:textId="5B7B1768" w:rsidR="00D67535" w:rsidRPr="00894155" w:rsidRDefault="00D67535" w:rsidP="00894155">
      <w:pPr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894155">
        <w:rPr>
          <w:rFonts w:asciiTheme="majorHAnsi" w:hAnsiTheme="majorHAnsi"/>
          <w:sz w:val="22"/>
          <w:szCs w:val="22"/>
        </w:rPr>
        <w:t>* * *</w:t>
      </w:r>
    </w:p>
    <w:p w14:paraId="2D94BF04" w14:textId="2E9E6DFC" w:rsidR="00623F56" w:rsidRPr="00AC28A3" w:rsidRDefault="00623F56" w:rsidP="006D1904">
      <w:pPr>
        <w:spacing w:before="120" w:after="120"/>
        <w:rPr>
          <w:rFonts w:asciiTheme="majorHAnsi" w:hAnsiTheme="majorHAnsi"/>
          <w:sz w:val="22"/>
          <w:szCs w:val="22"/>
        </w:rPr>
      </w:pPr>
      <w:r w:rsidRPr="00894155">
        <w:rPr>
          <w:rFonts w:asciiTheme="majorHAnsi" w:hAnsiTheme="majorHAnsi"/>
          <w:sz w:val="22"/>
          <w:szCs w:val="22"/>
        </w:rPr>
        <w:t>A</w:t>
      </w:r>
      <w:r w:rsidR="00894155" w:rsidRPr="00894155">
        <w:rPr>
          <w:rFonts w:asciiTheme="majorHAnsi" w:hAnsiTheme="majorHAnsi"/>
          <w:sz w:val="22"/>
          <w:szCs w:val="22"/>
        </w:rPr>
        <w:t xml:space="preserve"> rendezvényen</w:t>
      </w:r>
      <w:r w:rsidR="00894155" w:rsidRPr="00894155">
        <w:rPr>
          <w:rFonts w:ascii="Times New Roman" w:hAnsi="Times New Roman"/>
          <w:sz w:val="24"/>
          <w:szCs w:val="24"/>
        </w:rPr>
        <w:t xml:space="preserve"> </w:t>
      </w:r>
      <w:r w:rsidR="00894155" w:rsidRPr="00894155">
        <w:rPr>
          <w:rFonts w:asciiTheme="majorHAnsi" w:hAnsiTheme="majorHAnsi"/>
          <w:b/>
          <w:sz w:val="22"/>
          <w:szCs w:val="22"/>
        </w:rPr>
        <w:t xml:space="preserve">Dr. Pintér Sándor belügyminiszter </w:t>
      </w:r>
      <w:r w:rsidR="00894155" w:rsidRPr="00894155">
        <w:rPr>
          <w:rFonts w:asciiTheme="majorHAnsi" w:hAnsiTheme="majorHAnsi"/>
          <w:sz w:val="22"/>
          <w:szCs w:val="22"/>
        </w:rPr>
        <w:t>ismertette:</w:t>
      </w:r>
      <w:r w:rsidR="00894155" w:rsidRPr="00894155">
        <w:rPr>
          <w:rFonts w:ascii="Times New Roman" w:hAnsi="Times New Roman"/>
          <w:sz w:val="24"/>
          <w:szCs w:val="24"/>
        </w:rPr>
        <w:t xml:space="preserve"> </w:t>
      </w:r>
      <w:r w:rsidR="00894155" w:rsidRPr="00894155">
        <w:rPr>
          <w:rFonts w:asciiTheme="majorHAnsi" w:hAnsiTheme="majorHAnsi"/>
          <w:i/>
          <w:sz w:val="22"/>
          <w:szCs w:val="22"/>
        </w:rPr>
        <w:t xml:space="preserve">„A Nemzeti Korrupcióellenes Program hatékony végrehajtását követően a Belügyminisztérium előkészítette a következő évekre vonatkozó Nemzeti Korrupcióellenes Stratégiát.” </w:t>
      </w:r>
      <w:r w:rsidR="00894155" w:rsidRPr="00894155">
        <w:rPr>
          <w:rFonts w:asciiTheme="majorHAnsi" w:hAnsiTheme="majorHAnsi"/>
          <w:sz w:val="22"/>
          <w:szCs w:val="22"/>
        </w:rPr>
        <w:t>A stratégia céljait érintően hozzátette:</w:t>
      </w:r>
      <w:r w:rsidR="00894155" w:rsidRPr="00894155">
        <w:rPr>
          <w:rFonts w:asciiTheme="majorHAnsi" w:hAnsiTheme="majorHAnsi"/>
          <w:i/>
          <w:sz w:val="22"/>
          <w:szCs w:val="22"/>
        </w:rPr>
        <w:t xml:space="preserve"> „Az ügyintézési folyamatokban rejlő korrupciós kockázatok elkerülése érdekében továbbra is az egyik elsődleges feladat az e-közigazgatás fejlesztése, a folyamatok elektronizálása. Ha a technikai megoldás megszünteti az ügyfél-ügyintéző kapcsolatot, akkor lehetetlenné válik a korrupció. Az eredmények közül kiemelkedik az Elektronikus Közúti Áruforgalom Ellenőrző Rendszer működése, amelynek célja, hogy Magyarországon ne </w:t>
      </w:r>
      <w:proofErr w:type="spellStart"/>
      <w:r w:rsidR="00894155" w:rsidRPr="00894155">
        <w:rPr>
          <w:rFonts w:asciiTheme="majorHAnsi" w:hAnsiTheme="majorHAnsi"/>
          <w:i/>
          <w:sz w:val="22"/>
          <w:szCs w:val="22"/>
        </w:rPr>
        <w:t>kerülhessen</w:t>
      </w:r>
      <w:proofErr w:type="spellEnd"/>
      <w:r w:rsidR="00894155" w:rsidRPr="00894155">
        <w:rPr>
          <w:rFonts w:asciiTheme="majorHAnsi" w:hAnsiTheme="majorHAnsi"/>
          <w:i/>
          <w:sz w:val="22"/>
          <w:szCs w:val="22"/>
        </w:rPr>
        <w:t xml:space="preserve"> forgalomba olyan áru, amely előzetesen nem volt bejelentve az adóhatósághoz.”</w:t>
      </w:r>
    </w:p>
    <w:p w14:paraId="74A64237" w14:textId="2CE714ED" w:rsidR="00D67535" w:rsidRPr="00AC28A3" w:rsidRDefault="00D67535" w:rsidP="006D1904">
      <w:pPr>
        <w:spacing w:before="120" w:after="120"/>
        <w:rPr>
          <w:rFonts w:asciiTheme="majorHAnsi" w:hAnsiTheme="majorHAnsi"/>
          <w:b/>
          <w:sz w:val="22"/>
          <w:szCs w:val="22"/>
        </w:rPr>
      </w:pPr>
      <w:r w:rsidRPr="00AC28A3">
        <w:rPr>
          <w:rFonts w:asciiTheme="majorHAnsi" w:hAnsiTheme="majorHAnsi"/>
          <w:b/>
          <w:sz w:val="22"/>
          <w:szCs w:val="22"/>
        </w:rPr>
        <w:t>Dr. Kónya István, a Kúria elnökhelyettese</w:t>
      </w:r>
      <w:r w:rsidR="007730F2">
        <w:rPr>
          <w:rFonts w:asciiTheme="majorHAnsi" w:hAnsiTheme="majorHAnsi"/>
          <w:sz w:val="22"/>
          <w:szCs w:val="22"/>
        </w:rPr>
        <w:t xml:space="preserve"> kiemelte: </w:t>
      </w:r>
      <w:r w:rsidR="007730F2" w:rsidRPr="007730F2">
        <w:rPr>
          <w:rFonts w:asciiTheme="majorHAnsi" w:hAnsiTheme="majorHAnsi"/>
          <w:i/>
          <w:sz w:val="22"/>
          <w:szCs w:val="22"/>
        </w:rPr>
        <w:t>„A korrupció elkerülésének és az integritás megőrzésének legfontosabb garanciája a bírói függetlenség. Magyarország Alaptörvénye is rögzíti a bírói függetlenség garanciális elemeit: a bírák csak a törvénynek vannak alárendelve, ítélkezési tevékenységükben pedig nem utasíthatók.”</w:t>
      </w:r>
      <w:r w:rsidR="007730F2">
        <w:rPr>
          <w:rFonts w:asciiTheme="majorHAnsi" w:hAnsiTheme="majorHAnsi"/>
          <w:sz w:val="22"/>
          <w:szCs w:val="22"/>
        </w:rPr>
        <w:t xml:space="preserve"> A legfőbb bírói fórum helyettes vezetője rámutatott: </w:t>
      </w:r>
      <w:r w:rsidR="007730F2" w:rsidRPr="007730F2">
        <w:rPr>
          <w:rFonts w:asciiTheme="majorHAnsi" w:hAnsiTheme="majorHAnsi"/>
          <w:i/>
          <w:sz w:val="22"/>
          <w:szCs w:val="22"/>
        </w:rPr>
        <w:t>„a Kúria minden évben számos korrupcióval összefüggő bűncselekmény kapcsán indult büntetőeljárásban hoz ítéletet. 2019-ben is több ilyen ügy került a legfőbb bírói fórum elé, illetve a Büntető Kollégium a bíróságokra kötelező jogegységi határozatot is hozott</w:t>
      </w:r>
      <w:r w:rsidR="007730F2">
        <w:rPr>
          <w:rFonts w:asciiTheme="majorHAnsi" w:hAnsiTheme="majorHAnsi"/>
          <w:sz w:val="22"/>
          <w:szCs w:val="22"/>
        </w:rPr>
        <w:t>”</w:t>
      </w:r>
      <w:r w:rsidR="007730F2" w:rsidRPr="007730F2">
        <w:rPr>
          <w:rFonts w:asciiTheme="majorHAnsi" w:hAnsiTheme="majorHAnsi"/>
          <w:sz w:val="22"/>
          <w:szCs w:val="22"/>
        </w:rPr>
        <w:t>.</w:t>
      </w:r>
      <w:r w:rsidR="007730F2">
        <w:rPr>
          <w:rFonts w:asciiTheme="majorHAnsi" w:hAnsiTheme="majorHAnsi"/>
          <w:sz w:val="22"/>
          <w:szCs w:val="22"/>
        </w:rPr>
        <w:t xml:space="preserve"> Példaként egy kúriai ítéletet ismertetve elmondta, </w:t>
      </w:r>
      <w:r w:rsidR="007730F2" w:rsidRPr="007730F2">
        <w:rPr>
          <w:rFonts w:asciiTheme="majorHAnsi" w:hAnsiTheme="majorHAnsi"/>
          <w:sz w:val="22"/>
          <w:szCs w:val="22"/>
        </w:rPr>
        <w:t>az önkormányzati képviselő gazdálkodás során kifejtett tevékenysége megalapozhatja a büntetőjogi felelősség vizsgálatát, ha leadott szavazatával olyan döntés meghozatalához járul hozzá, amely valamely bűncselekmény törvényi tényállásának ismérveit valósítja meg.</w:t>
      </w:r>
    </w:p>
    <w:p w14:paraId="71877527" w14:textId="0EEE344B" w:rsidR="00D67535" w:rsidRPr="00437465" w:rsidRDefault="00484CF3" w:rsidP="006D1904">
      <w:pPr>
        <w:spacing w:before="120" w:after="120"/>
        <w:rPr>
          <w:rFonts w:asciiTheme="majorHAnsi" w:hAnsiTheme="majorHAnsi"/>
          <w:sz w:val="22"/>
          <w:szCs w:val="22"/>
        </w:rPr>
      </w:pPr>
      <w:r w:rsidRPr="00AC28A3">
        <w:rPr>
          <w:rFonts w:asciiTheme="majorHAnsi" w:hAnsiTheme="majorHAnsi"/>
          <w:b/>
          <w:sz w:val="22"/>
          <w:szCs w:val="22"/>
        </w:rPr>
        <w:lastRenderedPageBreak/>
        <w:t>Domokos László</w:t>
      </w:r>
      <w:r w:rsidRPr="00AC28A3">
        <w:rPr>
          <w:rFonts w:asciiTheme="majorHAnsi" w:hAnsiTheme="majorHAnsi"/>
          <w:sz w:val="22"/>
          <w:szCs w:val="22"/>
        </w:rPr>
        <w:t xml:space="preserve">, az </w:t>
      </w:r>
      <w:r w:rsidRPr="00AC28A3">
        <w:rPr>
          <w:rFonts w:asciiTheme="majorHAnsi" w:hAnsiTheme="majorHAnsi"/>
          <w:b/>
          <w:sz w:val="22"/>
          <w:szCs w:val="22"/>
        </w:rPr>
        <w:t>ÁSZ elnöke</w:t>
      </w:r>
      <w:r w:rsidRPr="00AC28A3">
        <w:rPr>
          <w:rFonts w:asciiTheme="majorHAnsi" w:hAnsiTheme="majorHAnsi"/>
          <w:sz w:val="22"/>
          <w:szCs w:val="22"/>
        </w:rPr>
        <w:t xml:space="preserve"> </w:t>
      </w:r>
      <w:r w:rsidR="00F57D50">
        <w:rPr>
          <w:rFonts w:asciiTheme="majorHAnsi" w:hAnsiTheme="majorHAnsi"/>
          <w:sz w:val="22"/>
          <w:szCs w:val="22"/>
        </w:rPr>
        <w:t>elmondta</w:t>
      </w:r>
      <w:r w:rsidR="00E07E0C" w:rsidRPr="00AC28A3">
        <w:rPr>
          <w:rFonts w:asciiTheme="majorHAnsi" w:hAnsiTheme="majorHAnsi"/>
          <w:sz w:val="22"/>
          <w:szCs w:val="22"/>
        </w:rPr>
        <w:t>:</w:t>
      </w:r>
      <w:r w:rsidRPr="00AC28A3">
        <w:rPr>
          <w:rFonts w:asciiTheme="majorHAnsi" w:hAnsiTheme="majorHAnsi"/>
          <w:sz w:val="22"/>
          <w:szCs w:val="22"/>
        </w:rPr>
        <w:t xml:space="preserve"> </w:t>
      </w:r>
      <w:r w:rsidR="00D67535" w:rsidRPr="00AC28A3">
        <w:rPr>
          <w:rFonts w:asciiTheme="majorHAnsi" w:hAnsiTheme="majorHAnsi"/>
          <w:sz w:val="22"/>
          <w:szCs w:val="22"/>
        </w:rPr>
        <w:t>„</w:t>
      </w:r>
      <w:r w:rsidR="00D67535" w:rsidRPr="00AC28A3">
        <w:rPr>
          <w:rFonts w:asciiTheme="majorHAnsi" w:hAnsiTheme="majorHAnsi"/>
          <w:i/>
          <w:sz w:val="22"/>
          <w:szCs w:val="22"/>
        </w:rPr>
        <w:t>Az Állami Számvevőszék ellenőrzéseivel, elemzéseivel és széleskörű tanácsadó, tudásmegosztó tevékenységével 2019-ben is hozzájárult a megelőzésen alapuló korrupció elleni célkitűzések megvalósításához. Magyarországon mára kiépültek a korrupciós helyzetek megelőzését biztosító rendszerek, az elmúlt években megerősödött a közszféra integritása”</w:t>
      </w:r>
      <w:r w:rsidR="00D67535" w:rsidRPr="00AC28A3">
        <w:rPr>
          <w:rFonts w:asciiTheme="majorHAnsi" w:hAnsiTheme="majorHAnsi"/>
          <w:sz w:val="22"/>
          <w:szCs w:val="22"/>
        </w:rPr>
        <w:t xml:space="preserve"> – húzta alá Domokos László. </w:t>
      </w:r>
      <w:r w:rsidR="00F57D50">
        <w:rPr>
          <w:rFonts w:asciiTheme="majorHAnsi" w:hAnsiTheme="majorHAnsi"/>
          <w:sz w:val="22"/>
          <w:szCs w:val="22"/>
        </w:rPr>
        <w:t>Hangsúlyozta</w:t>
      </w:r>
      <w:r w:rsidR="00D67535" w:rsidRPr="00AC28A3">
        <w:rPr>
          <w:rFonts w:asciiTheme="majorHAnsi" w:hAnsiTheme="majorHAnsi"/>
          <w:sz w:val="22"/>
          <w:szCs w:val="22"/>
        </w:rPr>
        <w:t>: „</w:t>
      </w:r>
      <w:r w:rsidR="00D67535" w:rsidRPr="00AC28A3">
        <w:rPr>
          <w:rFonts w:asciiTheme="majorHAnsi" w:hAnsiTheme="majorHAnsi"/>
          <w:i/>
          <w:sz w:val="22"/>
          <w:szCs w:val="22"/>
        </w:rPr>
        <w:t>Hazánk gazdasági eredményei, a magyar gazdaság dinamikus növekedése, illetve fenntartható kifehéredése alátámasztják a korrupció elleni rendszerszintű fellépés eredményességét.”</w:t>
      </w:r>
      <w:r w:rsidR="00D67535" w:rsidRPr="00AC28A3">
        <w:rPr>
          <w:rFonts w:asciiTheme="majorHAnsi" w:hAnsiTheme="majorHAnsi"/>
          <w:b/>
          <w:sz w:val="22"/>
          <w:szCs w:val="22"/>
        </w:rPr>
        <w:t xml:space="preserve"> </w:t>
      </w:r>
      <w:r w:rsidR="00D67535" w:rsidRPr="00AC28A3">
        <w:rPr>
          <w:rFonts w:asciiTheme="majorHAnsi" w:hAnsiTheme="majorHAnsi"/>
          <w:sz w:val="22"/>
          <w:szCs w:val="22"/>
        </w:rPr>
        <w:t xml:space="preserve">Az ÁSZ elnöke rámutatott: </w:t>
      </w:r>
      <w:r w:rsidR="00D67535" w:rsidRPr="00AC28A3">
        <w:rPr>
          <w:rFonts w:asciiTheme="majorHAnsi" w:hAnsiTheme="majorHAnsi"/>
          <w:i/>
          <w:sz w:val="22"/>
          <w:szCs w:val="22"/>
        </w:rPr>
        <w:t xml:space="preserve">Az „áfa-fehéredés”, vagyis a korrupció elleni rendszerszintű fellépés kiszámítható, igazságos viszonyokat teremt, tisztítja </w:t>
      </w:r>
      <w:r w:rsidR="00D67535" w:rsidRPr="00437465">
        <w:rPr>
          <w:rFonts w:asciiTheme="majorHAnsi" w:hAnsiTheme="majorHAnsi"/>
          <w:i/>
          <w:sz w:val="22"/>
          <w:szCs w:val="22"/>
        </w:rPr>
        <w:t>a piaci folyamatokat, javítja az adófizetési hajlandóságot, és – ami talán a legfontosabb – egyfajta társa</w:t>
      </w:r>
      <w:r w:rsidR="00AC28A3" w:rsidRPr="00437465">
        <w:rPr>
          <w:rFonts w:asciiTheme="majorHAnsi" w:hAnsiTheme="majorHAnsi"/>
          <w:i/>
          <w:sz w:val="22"/>
          <w:szCs w:val="22"/>
        </w:rPr>
        <w:t>dalmi szemléletváltást is jelez” – hangsúlyozta Domokos László.</w:t>
      </w:r>
    </w:p>
    <w:p w14:paraId="11E68CDD" w14:textId="4CFE0738" w:rsidR="00437465" w:rsidRPr="00437465" w:rsidRDefault="00437465" w:rsidP="006D1904">
      <w:pPr>
        <w:spacing w:before="120" w:after="120"/>
        <w:rPr>
          <w:rFonts w:asciiTheme="majorHAnsi" w:hAnsiTheme="majorHAnsi"/>
          <w:color w:val="1F497D"/>
          <w:sz w:val="22"/>
          <w:szCs w:val="22"/>
        </w:rPr>
      </w:pPr>
      <w:r w:rsidRPr="00437465">
        <w:rPr>
          <w:rFonts w:asciiTheme="majorHAnsi" w:hAnsiTheme="majorHAnsi"/>
          <w:b/>
          <w:bCs/>
          <w:sz w:val="22"/>
          <w:szCs w:val="22"/>
        </w:rPr>
        <w:t xml:space="preserve">Rigó Csaba Balázs, a Közbeszerzési Hatóság elnöke </w:t>
      </w:r>
      <w:r w:rsidRPr="00437465">
        <w:rPr>
          <w:rFonts w:asciiTheme="majorHAnsi" w:hAnsiTheme="majorHAnsi"/>
          <w:sz w:val="22"/>
          <w:szCs w:val="22"/>
        </w:rPr>
        <w:t>arra hívta fel a figyelmet, hogy</w:t>
      </w:r>
      <w:r w:rsidRPr="0043746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37465">
        <w:rPr>
          <w:rFonts w:asciiTheme="majorHAnsi" w:hAnsiTheme="majorHAnsi"/>
          <w:sz w:val="22"/>
          <w:szCs w:val="22"/>
        </w:rPr>
        <w:t xml:space="preserve">valóban szükség van olyan megbízható statisztikai adatokon alapuló megalapozott mérési módszertan alkalmazására, amely valós (tisztított) adatokkal dolgozik, és így átfogóbb képet adhat a hazai helyzetről. Kiemelte, a Hatóság már 7 éve ilyen adatokat alkalmaz a statisztikák elkészítésekor. </w:t>
      </w:r>
      <w:r w:rsidRPr="00437465">
        <w:rPr>
          <w:rFonts w:asciiTheme="majorHAnsi" w:hAnsiTheme="majorHAnsi"/>
          <w:i/>
          <w:iCs/>
          <w:sz w:val="22"/>
          <w:szCs w:val="22"/>
        </w:rPr>
        <w:t>„Miután jogerősen is bebizonyosodott, hogy a CRCB manipulált adatokkal dolgozott</w:t>
      </w:r>
      <w:r w:rsidR="00083A6F">
        <w:rPr>
          <w:rFonts w:asciiTheme="majorHAnsi" w:hAnsiTheme="majorHAnsi"/>
          <w:i/>
          <w:iCs/>
          <w:sz w:val="22"/>
          <w:szCs w:val="22"/>
        </w:rPr>
        <w:t xml:space="preserve"> egy konkrét tanulmányában</w:t>
      </w:r>
      <w:r w:rsidRPr="00437465">
        <w:rPr>
          <w:rFonts w:asciiTheme="majorHAnsi" w:hAnsiTheme="majorHAnsi"/>
          <w:i/>
          <w:iCs/>
          <w:sz w:val="22"/>
          <w:szCs w:val="22"/>
        </w:rPr>
        <w:t xml:space="preserve">, levélben fordultunk az Európai Bizottság </w:t>
      </w:r>
      <w:proofErr w:type="spellStart"/>
      <w:r w:rsidRPr="00437465">
        <w:rPr>
          <w:rFonts w:asciiTheme="majorHAnsi" w:hAnsiTheme="majorHAnsi"/>
          <w:i/>
          <w:iCs/>
          <w:sz w:val="22"/>
          <w:szCs w:val="22"/>
        </w:rPr>
        <w:t>főtitkárához</w:t>
      </w:r>
      <w:proofErr w:type="spellEnd"/>
      <w:r w:rsidRPr="00437465">
        <w:rPr>
          <w:rFonts w:asciiTheme="majorHAnsi" w:hAnsiTheme="majorHAnsi"/>
          <w:i/>
          <w:iCs/>
          <w:sz w:val="22"/>
          <w:szCs w:val="22"/>
        </w:rPr>
        <w:t>, kérve, vizsgálja felül</w:t>
      </w:r>
      <w:r w:rsidR="00083A6F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437465">
        <w:rPr>
          <w:rFonts w:asciiTheme="majorHAnsi" w:hAnsiTheme="majorHAnsi"/>
          <w:i/>
          <w:iCs/>
          <w:sz w:val="22"/>
          <w:szCs w:val="22"/>
        </w:rPr>
        <w:t>az</w:t>
      </w:r>
      <w:r w:rsidR="00083A6F">
        <w:rPr>
          <w:rFonts w:asciiTheme="majorHAnsi" w:hAnsiTheme="majorHAnsi"/>
          <w:i/>
          <w:iCs/>
          <w:sz w:val="22"/>
          <w:szCs w:val="22"/>
        </w:rPr>
        <w:t xml:space="preserve"> összes olyan</w:t>
      </w:r>
      <w:r w:rsidRPr="00437465">
        <w:rPr>
          <w:rFonts w:asciiTheme="majorHAnsi" w:hAnsiTheme="majorHAnsi"/>
          <w:i/>
          <w:iCs/>
          <w:sz w:val="22"/>
          <w:szCs w:val="22"/>
        </w:rPr>
        <w:t xml:space="preserve"> uniós dokumentumot</w:t>
      </w:r>
      <w:r w:rsidR="00083A6F">
        <w:rPr>
          <w:rFonts w:asciiTheme="majorHAnsi" w:hAnsiTheme="majorHAnsi"/>
          <w:i/>
          <w:iCs/>
          <w:sz w:val="22"/>
          <w:szCs w:val="22"/>
        </w:rPr>
        <w:t xml:space="preserve"> – beleértve </w:t>
      </w:r>
      <w:r w:rsidR="006F3878">
        <w:rPr>
          <w:rFonts w:asciiTheme="majorHAnsi" w:hAnsiTheme="majorHAnsi"/>
          <w:i/>
          <w:iCs/>
          <w:sz w:val="22"/>
          <w:szCs w:val="22"/>
        </w:rPr>
        <w:t xml:space="preserve">a Magyarországra vonatkozó 2018. és 2019. évi országjelentéseket is - </w:t>
      </w:r>
      <w:r w:rsidRPr="00437465">
        <w:rPr>
          <w:rFonts w:asciiTheme="majorHAnsi" w:hAnsiTheme="majorHAnsi"/>
          <w:i/>
          <w:iCs/>
          <w:sz w:val="22"/>
          <w:szCs w:val="22"/>
        </w:rPr>
        <w:t xml:space="preserve">amelyek az egyszemélyes kft </w:t>
      </w:r>
      <w:r w:rsidR="006F3878">
        <w:rPr>
          <w:rFonts w:asciiTheme="majorHAnsi" w:hAnsiTheme="majorHAnsi"/>
          <w:i/>
          <w:iCs/>
          <w:sz w:val="22"/>
          <w:szCs w:val="22"/>
        </w:rPr>
        <w:t xml:space="preserve">korábbi </w:t>
      </w:r>
      <w:r w:rsidRPr="00437465">
        <w:rPr>
          <w:rFonts w:asciiTheme="majorHAnsi" w:hAnsiTheme="majorHAnsi"/>
          <w:i/>
          <w:iCs/>
          <w:sz w:val="22"/>
          <w:szCs w:val="22"/>
        </w:rPr>
        <w:t>megállapításai</w:t>
      </w:r>
      <w:r w:rsidR="00464D0A">
        <w:rPr>
          <w:rFonts w:asciiTheme="majorHAnsi" w:hAnsiTheme="majorHAnsi"/>
          <w:i/>
          <w:iCs/>
          <w:sz w:val="22"/>
          <w:szCs w:val="22"/>
        </w:rPr>
        <w:t>ra</w:t>
      </w:r>
      <w:r w:rsidRPr="0043746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64D0A">
        <w:rPr>
          <w:rFonts w:asciiTheme="majorHAnsi" w:hAnsiTheme="majorHAnsi"/>
          <w:i/>
          <w:iCs/>
          <w:sz w:val="22"/>
          <w:szCs w:val="22"/>
        </w:rPr>
        <w:t>hivatkoznak</w:t>
      </w:r>
      <w:r w:rsidR="006F3878">
        <w:rPr>
          <w:rFonts w:asciiTheme="majorHAnsi" w:hAnsiTheme="majorHAnsi"/>
          <w:i/>
          <w:iCs/>
          <w:sz w:val="22"/>
          <w:szCs w:val="22"/>
        </w:rPr>
        <w:t>”</w:t>
      </w:r>
      <w:bookmarkStart w:id="0" w:name="_GoBack"/>
      <w:bookmarkEnd w:id="0"/>
      <w:r w:rsidR="006F3878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437465">
        <w:rPr>
          <w:rFonts w:asciiTheme="majorHAnsi" w:hAnsiTheme="majorHAnsi"/>
          <w:sz w:val="22"/>
          <w:szCs w:val="22"/>
        </w:rPr>
        <w:t>– emlékeztetett. Kitért arra is, hogy a következetes bírságolási gyakorlatnak komoly visszatartó ereje van, valamint megjegyezte, a Hatóság egyik fő célja továbbra is a hirdetmény nélkül induló tárgyalásos eljárások számának jelentős visszaszorítása.</w:t>
      </w:r>
    </w:p>
    <w:p w14:paraId="1F2C8633" w14:textId="7B648C02" w:rsidR="00245BEF" w:rsidRPr="00AC28A3" w:rsidRDefault="00265338" w:rsidP="006D1904">
      <w:pPr>
        <w:spacing w:before="120" w:after="120"/>
        <w:rPr>
          <w:rFonts w:asciiTheme="majorHAnsi" w:hAnsiTheme="majorHAnsi"/>
          <w:sz w:val="22"/>
          <w:szCs w:val="22"/>
        </w:rPr>
      </w:pPr>
      <w:r w:rsidRPr="00437465">
        <w:rPr>
          <w:rFonts w:asciiTheme="majorHAnsi" w:hAnsiTheme="majorHAnsi"/>
          <w:b/>
          <w:sz w:val="22"/>
          <w:szCs w:val="22"/>
        </w:rPr>
        <w:t xml:space="preserve">Dr. </w:t>
      </w:r>
      <w:r w:rsidR="00D67535" w:rsidRPr="00437465">
        <w:rPr>
          <w:rFonts w:asciiTheme="majorHAnsi" w:hAnsiTheme="majorHAnsi"/>
          <w:b/>
          <w:sz w:val="22"/>
          <w:szCs w:val="22"/>
        </w:rPr>
        <w:t>Répássy Árpád</w:t>
      </w:r>
      <w:r w:rsidRPr="00437465">
        <w:rPr>
          <w:rFonts w:asciiTheme="majorHAnsi" w:hAnsiTheme="majorHAnsi"/>
          <w:b/>
          <w:sz w:val="22"/>
          <w:szCs w:val="22"/>
        </w:rPr>
        <w:t>,</w:t>
      </w:r>
      <w:r w:rsidRPr="00437465">
        <w:rPr>
          <w:rFonts w:asciiTheme="majorHAnsi" w:hAnsiTheme="majorHAnsi"/>
          <w:sz w:val="22"/>
          <w:szCs w:val="22"/>
        </w:rPr>
        <w:t xml:space="preserve"> </w:t>
      </w:r>
      <w:r w:rsidRPr="00437465">
        <w:rPr>
          <w:rFonts w:asciiTheme="majorHAnsi" w:hAnsiTheme="majorHAnsi"/>
          <w:b/>
          <w:sz w:val="22"/>
          <w:szCs w:val="22"/>
        </w:rPr>
        <w:t xml:space="preserve">az </w:t>
      </w:r>
      <w:r w:rsidR="00D67535" w:rsidRPr="00437465">
        <w:rPr>
          <w:rFonts w:asciiTheme="majorHAnsi" w:hAnsiTheme="majorHAnsi"/>
          <w:b/>
          <w:sz w:val="22"/>
          <w:szCs w:val="22"/>
        </w:rPr>
        <w:t>Országos Bírósági Hivatal elnökhelyettese</w:t>
      </w:r>
      <w:r w:rsidR="00B71666" w:rsidRPr="00437465">
        <w:rPr>
          <w:rFonts w:asciiTheme="majorHAnsi" w:hAnsiTheme="majorHAnsi"/>
          <w:sz w:val="22"/>
          <w:szCs w:val="22"/>
        </w:rPr>
        <w:t xml:space="preserve"> hangsúlyozta: </w:t>
      </w:r>
      <w:r w:rsidR="00B71666" w:rsidRPr="00437465">
        <w:rPr>
          <w:rFonts w:asciiTheme="majorHAnsi" w:hAnsiTheme="majorHAnsi"/>
          <w:i/>
          <w:sz w:val="22"/>
          <w:szCs w:val="22"/>
        </w:rPr>
        <w:t>„Az Országos Bírósági Hivatal fennállása óta elkötelezett az integritás erősítése iránt, nagy hangsúly fektet a bíróságok integritását biztosító szervezeti és</w:t>
      </w:r>
      <w:r w:rsidR="00B71666" w:rsidRPr="00B71666">
        <w:rPr>
          <w:rFonts w:asciiTheme="majorHAnsi" w:hAnsiTheme="majorHAnsi"/>
          <w:i/>
          <w:sz w:val="22"/>
          <w:szCs w:val="22"/>
        </w:rPr>
        <w:t xml:space="preserve"> működési rend kialakítására. Kiemelt feladatának tekinti az ítélkezési és igazgatási munka átláthatóságának, utóbbi kiszámíthatóságának és ellenőrzöttségének megvalósítását.”</w:t>
      </w:r>
      <w:r w:rsidR="00B71666">
        <w:rPr>
          <w:rFonts w:asciiTheme="majorHAnsi" w:hAnsiTheme="majorHAnsi"/>
          <w:sz w:val="22"/>
          <w:szCs w:val="22"/>
        </w:rPr>
        <w:t xml:space="preserve"> Az OBH gyakorlatát ismertetve kiemelte: „</w:t>
      </w:r>
      <w:r w:rsidR="00B71666" w:rsidRPr="00B71666">
        <w:rPr>
          <w:rFonts w:asciiTheme="majorHAnsi" w:hAnsiTheme="majorHAnsi"/>
          <w:i/>
          <w:sz w:val="22"/>
          <w:szCs w:val="22"/>
        </w:rPr>
        <w:t>Az integritást sértő magatartásokkal kapcsolatos egységes fellépést az integritási szabályzatról szóló OBH utasítás biztosítja, a bíróságokon kijelölt integritásfelelős fogadja a bírósági szervezet integritását érintő bejelentéseket</w:t>
      </w:r>
      <w:r w:rsidR="00B71666">
        <w:rPr>
          <w:rFonts w:asciiTheme="majorHAnsi" w:hAnsiTheme="majorHAnsi"/>
          <w:sz w:val="22"/>
          <w:szCs w:val="22"/>
        </w:rPr>
        <w:t>.”</w:t>
      </w:r>
    </w:p>
    <w:p w14:paraId="3350BCD5" w14:textId="7133F024" w:rsidR="00BB0A10" w:rsidRDefault="00484CF3" w:rsidP="006D1904">
      <w:pPr>
        <w:spacing w:before="120" w:after="120"/>
        <w:rPr>
          <w:rFonts w:asciiTheme="majorHAnsi" w:hAnsiTheme="majorHAnsi"/>
          <w:sz w:val="22"/>
          <w:szCs w:val="22"/>
        </w:rPr>
      </w:pPr>
      <w:r w:rsidRPr="00AC28A3">
        <w:rPr>
          <w:rFonts w:asciiTheme="majorHAnsi" w:hAnsiTheme="majorHAnsi"/>
          <w:b/>
          <w:sz w:val="22"/>
          <w:szCs w:val="22"/>
        </w:rPr>
        <w:t>Dr. Lajtár István közjogi legfőbb ügyész helyette</w:t>
      </w:r>
      <w:r w:rsidR="00AC25C5">
        <w:rPr>
          <w:rFonts w:asciiTheme="majorHAnsi" w:hAnsiTheme="majorHAnsi"/>
          <w:b/>
          <w:sz w:val="22"/>
          <w:szCs w:val="22"/>
        </w:rPr>
        <w:t>s</w:t>
      </w:r>
      <w:r w:rsidR="00AC25C5">
        <w:rPr>
          <w:rFonts w:asciiTheme="majorHAnsi" w:hAnsiTheme="majorHAnsi"/>
          <w:sz w:val="22"/>
          <w:szCs w:val="22"/>
        </w:rPr>
        <w:t xml:space="preserve"> rávilágított: </w:t>
      </w:r>
      <w:r w:rsidR="00AC25C5" w:rsidRPr="00AC25C5">
        <w:rPr>
          <w:rFonts w:asciiTheme="majorHAnsi" w:hAnsiTheme="majorHAnsi"/>
          <w:i/>
          <w:sz w:val="22"/>
          <w:szCs w:val="22"/>
        </w:rPr>
        <w:t>„Az ügyészség a korrupcióval szembeni fellépést, illetve a szervezeti és személyi integritásának fejlesztését kiemelt fontosságú területként kezeli.”</w:t>
      </w:r>
      <w:r w:rsidR="00AC25C5">
        <w:rPr>
          <w:rFonts w:asciiTheme="majorHAnsi" w:hAnsiTheme="majorHAnsi"/>
          <w:sz w:val="22"/>
          <w:szCs w:val="22"/>
        </w:rPr>
        <w:t xml:space="preserve"> Az új büntetőeljárási kódex hatályba lépése kapcsán rámutatott, </w:t>
      </w:r>
      <w:r w:rsidR="00AC25C5" w:rsidRPr="00AC25C5">
        <w:rPr>
          <w:rFonts w:asciiTheme="majorHAnsi" w:hAnsiTheme="majorHAnsi"/>
          <w:i/>
          <w:sz w:val="22"/>
          <w:szCs w:val="22"/>
        </w:rPr>
        <w:t>„a Központi Nyomozó Főügyészség korrupció elleni küzdelemben játszott szerepe még hangsúlyosabbá vált, hiszen a hivatali korrupciós bűncselekmények nyomozása kizárólagos ügyészségi hatáskörbe került.”</w:t>
      </w:r>
      <w:r w:rsidR="00AC25C5">
        <w:rPr>
          <w:rFonts w:asciiTheme="majorHAnsi" w:hAnsiTheme="majorHAnsi"/>
          <w:i/>
          <w:sz w:val="22"/>
          <w:szCs w:val="22"/>
        </w:rPr>
        <w:t xml:space="preserve">. </w:t>
      </w:r>
      <w:r w:rsidR="00AC25C5">
        <w:rPr>
          <w:rFonts w:asciiTheme="majorHAnsi" w:hAnsiTheme="majorHAnsi"/>
          <w:sz w:val="22"/>
          <w:szCs w:val="22"/>
        </w:rPr>
        <w:t xml:space="preserve">Lajtár István arról is beszélt, hogy </w:t>
      </w:r>
      <w:r w:rsidR="00BB0A10">
        <w:rPr>
          <w:rFonts w:asciiTheme="majorHAnsi" w:hAnsiTheme="majorHAnsi"/>
          <w:i/>
          <w:sz w:val="22"/>
          <w:szCs w:val="22"/>
        </w:rPr>
        <w:t>„A nemzetközi együttműködés kapcsán kiemelendő, hogy - az OLAF 2018-as éves jelentése szerint – a magyar ügyészség az uniós átlagot meghaladó mértékben, az OLAF által kezdeményezett ügyek 45%-</w:t>
      </w:r>
      <w:proofErr w:type="spellStart"/>
      <w:r w:rsidR="00BB0A10">
        <w:rPr>
          <w:rFonts w:asciiTheme="majorHAnsi" w:hAnsiTheme="majorHAnsi"/>
          <w:i/>
          <w:sz w:val="22"/>
          <w:szCs w:val="22"/>
        </w:rPr>
        <w:t>ában</w:t>
      </w:r>
      <w:proofErr w:type="spellEnd"/>
      <w:r w:rsidR="00BB0A10">
        <w:rPr>
          <w:rFonts w:asciiTheme="majorHAnsi" w:hAnsiTheme="majorHAnsi"/>
          <w:i/>
          <w:sz w:val="22"/>
          <w:szCs w:val="22"/>
        </w:rPr>
        <w:t xml:space="preserve"> emelt vádat 2012 és 2018 között.”</w:t>
      </w:r>
    </w:p>
    <w:p w14:paraId="4D15DE30" w14:textId="602DC2AA" w:rsidR="00396E24" w:rsidRPr="008E67BE" w:rsidRDefault="00265338" w:rsidP="006D1904">
      <w:pPr>
        <w:spacing w:before="120" w:after="120"/>
        <w:rPr>
          <w:rFonts w:asciiTheme="majorHAnsi" w:hAnsiTheme="majorHAnsi"/>
          <w:sz w:val="22"/>
          <w:szCs w:val="22"/>
        </w:rPr>
      </w:pPr>
      <w:r w:rsidRPr="00AC28A3">
        <w:rPr>
          <w:rFonts w:asciiTheme="majorHAnsi" w:hAnsiTheme="majorHAnsi"/>
          <w:b/>
          <w:sz w:val="22"/>
          <w:szCs w:val="22"/>
        </w:rPr>
        <w:t xml:space="preserve">Dr. </w:t>
      </w:r>
      <w:proofErr w:type="spellStart"/>
      <w:r w:rsidR="00AC28A3" w:rsidRPr="00AC28A3">
        <w:rPr>
          <w:rFonts w:asciiTheme="majorHAnsi" w:hAnsiTheme="majorHAnsi"/>
          <w:b/>
          <w:sz w:val="22"/>
          <w:szCs w:val="22"/>
        </w:rPr>
        <w:t>Kandrács</w:t>
      </w:r>
      <w:proofErr w:type="spellEnd"/>
      <w:r w:rsidR="00AC28A3" w:rsidRPr="00AC28A3">
        <w:rPr>
          <w:rFonts w:asciiTheme="majorHAnsi" w:hAnsiTheme="majorHAnsi"/>
          <w:b/>
          <w:sz w:val="22"/>
          <w:szCs w:val="22"/>
        </w:rPr>
        <w:t xml:space="preserve"> Csaba</w:t>
      </w:r>
      <w:r w:rsidRPr="00AC28A3">
        <w:rPr>
          <w:rFonts w:asciiTheme="majorHAnsi" w:hAnsiTheme="majorHAnsi"/>
          <w:b/>
          <w:sz w:val="22"/>
          <w:szCs w:val="22"/>
        </w:rPr>
        <w:t>, a Magyar Nemzeti Bank alelnöke</w:t>
      </w:r>
      <w:r w:rsidR="00AC25C5">
        <w:rPr>
          <w:rFonts w:asciiTheme="majorHAnsi" w:hAnsiTheme="majorHAnsi"/>
          <w:b/>
          <w:sz w:val="22"/>
          <w:szCs w:val="22"/>
        </w:rPr>
        <w:t xml:space="preserve"> </w:t>
      </w:r>
      <w:r w:rsidR="00AC25C5">
        <w:rPr>
          <w:rFonts w:asciiTheme="majorHAnsi" w:hAnsiTheme="majorHAnsi"/>
          <w:sz w:val="22"/>
          <w:szCs w:val="22"/>
        </w:rPr>
        <w:t xml:space="preserve">kiemelte: </w:t>
      </w:r>
      <w:r w:rsidR="00AC25C5" w:rsidRPr="00AC25C5">
        <w:rPr>
          <w:rFonts w:asciiTheme="majorHAnsi" w:hAnsiTheme="majorHAnsi"/>
          <w:i/>
          <w:sz w:val="22"/>
          <w:szCs w:val="22"/>
        </w:rPr>
        <w:t>„A Magyar Nemzeti Bank elkötelezett az integritás-alapú szervezeti kultúra folyamatos fejlesztése, az értékorientált működés megvalósítása mellett.”</w:t>
      </w:r>
      <w:r w:rsidR="00AC25C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C38AB">
        <w:rPr>
          <w:rFonts w:asciiTheme="majorHAnsi" w:hAnsiTheme="majorHAnsi"/>
          <w:sz w:val="22"/>
          <w:szCs w:val="22"/>
        </w:rPr>
        <w:t>Kandrács</w:t>
      </w:r>
      <w:proofErr w:type="spellEnd"/>
      <w:r w:rsidR="009C38AB">
        <w:rPr>
          <w:rFonts w:asciiTheme="majorHAnsi" w:hAnsiTheme="majorHAnsi"/>
          <w:sz w:val="22"/>
          <w:szCs w:val="22"/>
        </w:rPr>
        <w:t xml:space="preserve"> Csaba </w:t>
      </w:r>
      <w:r w:rsidR="00AC25C5">
        <w:rPr>
          <w:rFonts w:asciiTheme="majorHAnsi" w:hAnsiTheme="majorHAnsi"/>
          <w:sz w:val="22"/>
          <w:szCs w:val="22"/>
        </w:rPr>
        <w:t xml:space="preserve">hangsúlyozta: </w:t>
      </w:r>
      <w:r w:rsidR="00AC25C5" w:rsidRPr="00AC25C5">
        <w:rPr>
          <w:rFonts w:asciiTheme="majorHAnsi" w:hAnsiTheme="majorHAnsi"/>
          <w:i/>
          <w:sz w:val="22"/>
          <w:szCs w:val="22"/>
        </w:rPr>
        <w:t>„A jegybank továbbra is fellép a jogi és etikai normákat esetlegesen megsértőkkel szemben, s olyan megelőző eszközöket alkalmaz, amelyek az integritás megerősítését és a korrupció megakadályozását szolgálják.”</w:t>
      </w:r>
      <w:r w:rsidR="00AC25C5">
        <w:rPr>
          <w:rFonts w:asciiTheme="majorHAnsi" w:hAnsiTheme="majorHAnsi"/>
          <w:sz w:val="22"/>
          <w:szCs w:val="22"/>
        </w:rPr>
        <w:t xml:space="preserve"> </w:t>
      </w:r>
      <w:r w:rsidR="00AC25C5" w:rsidRPr="00AC25C5">
        <w:rPr>
          <w:rFonts w:asciiTheme="majorHAnsi" w:hAnsiTheme="majorHAnsi"/>
          <w:sz w:val="22"/>
          <w:szCs w:val="22"/>
        </w:rPr>
        <w:t xml:space="preserve">Az MNB </w:t>
      </w:r>
      <w:r w:rsidR="00B60C48">
        <w:rPr>
          <w:rFonts w:asciiTheme="majorHAnsi" w:hAnsiTheme="majorHAnsi"/>
          <w:sz w:val="22"/>
          <w:szCs w:val="22"/>
        </w:rPr>
        <w:t xml:space="preserve">a </w:t>
      </w:r>
      <w:r w:rsidR="00AC25C5" w:rsidRPr="00AC25C5">
        <w:rPr>
          <w:rFonts w:asciiTheme="majorHAnsi" w:hAnsiTheme="majorHAnsi"/>
          <w:sz w:val="22"/>
          <w:szCs w:val="22"/>
        </w:rPr>
        <w:t>napokban publikál</w:t>
      </w:r>
      <w:r w:rsidR="00B60C48">
        <w:rPr>
          <w:rFonts w:asciiTheme="majorHAnsi" w:hAnsiTheme="majorHAnsi"/>
          <w:sz w:val="22"/>
          <w:szCs w:val="22"/>
        </w:rPr>
        <w:t>ja</w:t>
      </w:r>
      <w:r w:rsidR="00AC25C5" w:rsidRPr="00AC25C5">
        <w:rPr>
          <w:rFonts w:asciiTheme="majorHAnsi" w:hAnsiTheme="majorHAnsi"/>
          <w:sz w:val="22"/>
          <w:szCs w:val="22"/>
        </w:rPr>
        <w:t xml:space="preserve"> 6 éves felügyeleti stratégiájá</w:t>
      </w:r>
      <w:r w:rsidR="00B60C48">
        <w:rPr>
          <w:rFonts w:asciiTheme="majorHAnsi" w:hAnsiTheme="majorHAnsi"/>
          <w:sz w:val="22"/>
          <w:szCs w:val="22"/>
        </w:rPr>
        <w:t>t, amelyben</w:t>
      </w:r>
      <w:r w:rsidR="00AC25C5" w:rsidRPr="00AC25C5">
        <w:rPr>
          <w:rFonts w:asciiTheme="majorHAnsi" w:hAnsiTheme="majorHAnsi"/>
          <w:sz w:val="22"/>
          <w:szCs w:val="22"/>
        </w:rPr>
        <w:t xml:space="preserve"> kiemelt értékként nevesítette az integritást, </w:t>
      </w:r>
      <w:r w:rsidR="00B60C48">
        <w:rPr>
          <w:rFonts w:asciiTheme="majorHAnsi" w:hAnsiTheme="majorHAnsi"/>
          <w:sz w:val="22"/>
          <w:szCs w:val="22"/>
        </w:rPr>
        <w:t xml:space="preserve">így </w:t>
      </w:r>
      <w:r w:rsidR="00AC25C5" w:rsidRPr="00AC25C5">
        <w:rPr>
          <w:rFonts w:asciiTheme="majorHAnsi" w:hAnsiTheme="majorHAnsi"/>
          <w:sz w:val="22"/>
          <w:szCs w:val="22"/>
        </w:rPr>
        <w:t>az elkövetkezendő évek feladatellátásában az eddiginél még hangsúlyosabb prioritást kap</w:t>
      </w:r>
      <w:r w:rsidR="00B60C48">
        <w:rPr>
          <w:rFonts w:asciiTheme="majorHAnsi" w:hAnsiTheme="majorHAnsi"/>
          <w:sz w:val="22"/>
          <w:szCs w:val="22"/>
        </w:rPr>
        <w:t>.</w:t>
      </w:r>
      <w:r w:rsidR="00396E24" w:rsidRPr="00AC28A3">
        <w:rPr>
          <w:rFonts w:asciiTheme="majorHAnsi" w:eastAsia="Calibri" w:hAnsiTheme="majorHAnsi"/>
          <w:b/>
          <w:sz w:val="22"/>
          <w:szCs w:val="22"/>
          <w:lang w:eastAsia="en-US"/>
        </w:rPr>
        <w:br w:type="page"/>
      </w:r>
    </w:p>
    <w:p w14:paraId="7C582045" w14:textId="77777777" w:rsidR="005A3F09" w:rsidRDefault="005A3F09" w:rsidP="00265338">
      <w:pPr>
        <w:pStyle w:val="Szvegtrzs"/>
        <w:pBdr>
          <w:bottom w:val="single" w:sz="6" w:space="1" w:color="auto"/>
        </w:pBdr>
        <w:rPr>
          <w:rFonts w:ascii="Book Antiqua" w:eastAsia="Calibri" w:hAnsi="Book Antiqua"/>
          <w:b/>
          <w:sz w:val="22"/>
          <w:szCs w:val="22"/>
          <w:lang w:eastAsia="en-US"/>
        </w:rPr>
      </w:pPr>
    </w:p>
    <w:p w14:paraId="5AF9B46C" w14:textId="07131CBD" w:rsidR="00216E6A" w:rsidRDefault="00216E6A" w:rsidP="00265338">
      <w:pPr>
        <w:pStyle w:val="Szvegtrzs"/>
        <w:pBdr>
          <w:bottom w:val="single" w:sz="6" w:space="1" w:color="auto"/>
        </w:pBdr>
        <w:rPr>
          <w:rFonts w:ascii="Book Antiqua" w:eastAsia="Calibri" w:hAnsi="Book Antiqua"/>
          <w:b/>
          <w:sz w:val="22"/>
          <w:szCs w:val="22"/>
          <w:lang w:eastAsia="en-US"/>
        </w:rPr>
      </w:pPr>
      <w:r w:rsidRPr="008859E7">
        <w:rPr>
          <w:rFonts w:ascii="Book Antiqua" w:eastAsia="Calibri" w:hAnsi="Book Antiqua"/>
          <w:b/>
          <w:sz w:val="22"/>
          <w:szCs w:val="22"/>
          <w:lang w:eastAsia="en-US"/>
        </w:rPr>
        <w:t>RÉSZLETES SAJTÓ</w:t>
      </w:r>
      <w:r w:rsidR="00AC28A3">
        <w:rPr>
          <w:rFonts w:ascii="Book Antiqua" w:eastAsia="Calibri" w:hAnsi="Book Antiqua"/>
          <w:b/>
          <w:sz w:val="22"/>
          <w:szCs w:val="22"/>
          <w:lang w:eastAsia="en-US"/>
        </w:rPr>
        <w:t>ÖSSZEFOGLALÓK</w:t>
      </w:r>
    </w:p>
    <w:p w14:paraId="430C5AE6" w14:textId="3A8DD78F" w:rsidR="006A0673" w:rsidRDefault="006A0673" w:rsidP="00265338">
      <w:pPr>
        <w:pStyle w:val="Szvegtrzs"/>
        <w:pBdr>
          <w:bottom w:val="single" w:sz="6" w:space="1" w:color="auto"/>
        </w:pBdr>
        <w:rPr>
          <w:rFonts w:ascii="Book Antiqua" w:eastAsia="Calibri" w:hAnsi="Book Antiqua"/>
          <w:b/>
          <w:sz w:val="22"/>
          <w:szCs w:val="22"/>
          <w:lang w:eastAsia="en-US"/>
        </w:rPr>
      </w:pPr>
    </w:p>
    <w:p w14:paraId="55723402" w14:textId="77777777" w:rsidR="006A0673" w:rsidRDefault="006A0673" w:rsidP="006A0673">
      <w:pPr>
        <w:rPr>
          <w:rFonts w:ascii="Book Antiqua" w:hAnsi="Book Antiqua"/>
          <w:sz w:val="22"/>
          <w:szCs w:val="22"/>
        </w:rPr>
      </w:pPr>
    </w:p>
    <w:p w14:paraId="7D923952" w14:textId="04E8D001" w:rsidR="00894155" w:rsidRDefault="00894155" w:rsidP="0089133E">
      <w:pPr>
        <w:autoSpaceDE w:val="0"/>
        <w:autoSpaceDN w:val="0"/>
        <w:adjustRightInd w:val="0"/>
        <w:spacing w:before="240"/>
        <w:rPr>
          <w:rFonts w:asciiTheme="majorHAnsi" w:hAnsiTheme="majorHAnsi"/>
          <w:b/>
          <w:sz w:val="22"/>
          <w:szCs w:val="22"/>
        </w:rPr>
      </w:pPr>
      <w:r w:rsidRPr="00894155">
        <w:rPr>
          <w:rFonts w:asciiTheme="majorHAnsi" w:hAnsiTheme="majorHAnsi"/>
        </w:rPr>
        <w:t xml:space="preserve"> </w:t>
      </w:r>
      <w:r w:rsidRPr="00894155">
        <w:rPr>
          <w:rFonts w:asciiTheme="majorHAnsi" w:hAnsiTheme="majorHAnsi"/>
          <w:noProof/>
        </w:rPr>
        <w:drawing>
          <wp:anchor distT="0" distB="0" distL="114300" distR="114300" simplePos="0" relativeHeight="251696128" behindDoc="1" locked="0" layoutInCell="1" allowOverlap="1" wp14:anchorId="1E249C70" wp14:editId="06A4F758">
            <wp:simplePos x="0" y="0"/>
            <wp:positionH relativeFrom="column">
              <wp:posOffset>-43180</wp:posOffset>
            </wp:positionH>
            <wp:positionV relativeFrom="paragraph">
              <wp:posOffset>10795</wp:posOffset>
            </wp:positionV>
            <wp:extent cx="1495425" cy="963930"/>
            <wp:effectExtent l="0" t="0" r="9525" b="7620"/>
            <wp:wrapTight wrapText="bothSides">
              <wp:wrapPolygon edited="0">
                <wp:start x="0" y="0"/>
                <wp:lineTo x="0" y="21344"/>
                <wp:lineTo x="21462" y="21344"/>
                <wp:lineTo x="21462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155">
        <w:rPr>
          <w:rFonts w:asciiTheme="majorHAnsi" w:hAnsiTheme="majorHAnsi"/>
          <w:b/>
          <w:sz w:val="22"/>
          <w:szCs w:val="22"/>
        </w:rPr>
        <w:t>A Kormány előző négy évben végrehajtott Nemzeti Korrupcióellenes Programja jelentősen hozzájárult a korrupció elleni fellépés hatékonyságának növeléséhez, valamint ahhoz, hogy hazánk egyes jogintézményei és törekvései külföldön is elismertek és követendők legyenek.</w:t>
      </w:r>
    </w:p>
    <w:p w14:paraId="72807A52" w14:textId="77777777" w:rsidR="0089133E" w:rsidRPr="00894155" w:rsidRDefault="0089133E" w:rsidP="0089133E">
      <w:pPr>
        <w:autoSpaceDE w:val="0"/>
        <w:autoSpaceDN w:val="0"/>
        <w:adjustRightInd w:val="0"/>
        <w:spacing w:before="240"/>
        <w:rPr>
          <w:rFonts w:asciiTheme="majorHAnsi" w:hAnsiTheme="majorHAnsi"/>
          <w:b/>
          <w:sz w:val="22"/>
          <w:szCs w:val="22"/>
        </w:rPr>
      </w:pPr>
    </w:p>
    <w:p w14:paraId="7F4D72CC" w14:textId="77777777" w:rsidR="00894155" w:rsidRPr="00894155" w:rsidRDefault="00894155" w:rsidP="0089133E">
      <w:pPr>
        <w:spacing w:before="24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94155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A Program segítette az átlátható, értékelvű közigazgatás, valamint a közpénzekkel való felelős gazdálkodás megvalósulását.</w:t>
      </w:r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Az államigazgatási szervek részére készült módszertani útmutatók segítséget nyújtanak a korrupció-megelőzési helyzetek felméréséhez, a korrupcióellenes kontrollok kiépítéséhez, illetve támogatásként szolgálnak a kontrollok működésének ellenőrzését végző szervezetek számára. </w:t>
      </w:r>
    </w:p>
    <w:p w14:paraId="1EC28FB5" w14:textId="77777777" w:rsidR="00894155" w:rsidRPr="00894155" w:rsidRDefault="00894155" w:rsidP="0089133E">
      <w:pPr>
        <w:spacing w:before="24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94155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Az ügyintéző-ügyfél kapcsolatban rejlő korrupciós kockázatok csökkentését szolgálta az elektronikus ügyintézés továbbfejlesztése.</w:t>
      </w:r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Ha a technikai megoldás megszünteti az ügyfél-ügyintéző kapcsolatot, akkor lehetetlenné válik a korrupció. A Digitális Nemzet Fejlesztési Program „Digitális Állam” pillérének megvalósítása érdekében a Kormány megteremtette az elektronikus ügyintézés szabályait, amely magában foglalja a hatósági, bírósági és szabálysértési, valamint az állami szervek által lefolytatott egyéb eljárások tekintetében az elektronikus ügyintézés keret-szabályrendszerét.</w:t>
      </w:r>
    </w:p>
    <w:p w14:paraId="60EC0C4C" w14:textId="77777777" w:rsidR="00894155" w:rsidRPr="00894155" w:rsidRDefault="00894155" w:rsidP="0089133E">
      <w:pPr>
        <w:spacing w:before="24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94155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A Program az üzleti élet tisztaságát is elősegítette.</w:t>
      </w:r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A bevezetett online-pénztárgépek rendszerével a Nemzeti Adóhivatal közvetlen és azonnali információhoz jut a cég tevékenységére, bevételeire vonatkozóan, és az elemzett, összevetett információk alapján sokkal hatékonyabbá váltak az ellenőrzések. A gazdaság kifehérítését szolgáló további rendelkezések között kiemelt szerepet tölt be az Elektronikus Közúti Áruforgalom Ellenőrző Rendszer, amelynek célja az áruk valós útjának nyomon követése, az árubeszerzések, értékesítések során keletkező </w:t>
      </w:r>
      <w:proofErr w:type="spellStart"/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>közterhek</w:t>
      </w:r>
      <w:proofErr w:type="spellEnd"/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megfizetésének biztosítása, valamint az, hogy Magyarországon ne </w:t>
      </w:r>
      <w:proofErr w:type="spellStart"/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>kerülhessen</w:t>
      </w:r>
      <w:proofErr w:type="spellEnd"/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forgalomba olyan áru, amely előzetesen nem volt bejelentve az adóhatósághoz.</w:t>
      </w:r>
    </w:p>
    <w:p w14:paraId="60A6E5DE" w14:textId="77777777" w:rsidR="00894155" w:rsidRPr="00894155" w:rsidRDefault="00894155" w:rsidP="0089133E">
      <w:pPr>
        <w:spacing w:before="24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94155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Az oktatás és képzés területe nélkülözhetetlen eleme a korrupció megelőzését célzó intézkedéscsomagoknak. </w:t>
      </w:r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Megvalósult a közszférát érintő képzési rendszerekben az </w:t>
      </w:r>
      <w:proofErr w:type="spellStart"/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>antikorrupció</w:t>
      </w:r>
      <w:proofErr w:type="spellEnd"/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>, korrupció-megelőzés és hivatásetika témájú képzések továbbfejlesztése.</w:t>
      </w:r>
    </w:p>
    <w:p w14:paraId="49DC4FA8" w14:textId="77777777" w:rsidR="00894155" w:rsidRPr="00894155" w:rsidRDefault="00894155" w:rsidP="0089133E">
      <w:pPr>
        <w:spacing w:before="24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94155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A Program kiemelt célja volt a társadalom tagjainak a korrupciós jelenségekkel kapcsolatos ismereteinek és tudatosságának növelése. </w:t>
      </w:r>
      <w:r w:rsidRPr="0089415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 korrupció nem szükségszerű része a mindennapoknak, az azzal szembeni fellépés a társadalmi összefogás mellett egyéni felelősség kérdése is, ezt hangsúlyozta a közösségi médiumok hatékony felhasználásával megvalósított társadalmi tájékoztató kampány. </w:t>
      </w:r>
    </w:p>
    <w:p w14:paraId="342F1AAA" w14:textId="77777777" w:rsidR="00894155" w:rsidRPr="00894155" w:rsidRDefault="00894155" w:rsidP="0089133E">
      <w:pPr>
        <w:spacing w:before="24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94155">
        <w:rPr>
          <w:rFonts w:asciiTheme="majorHAnsi" w:eastAsiaTheme="minorHAnsi" w:hAnsiTheme="majorHAnsi" w:cstheme="minorBidi"/>
          <w:bCs/>
          <w:sz w:val="22"/>
          <w:szCs w:val="22"/>
        </w:rPr>
        <w:t>Eredményesnek bizonyultak a rendvédelem területén tett intézkedések: az ismertté vált korrupciós bűncselekmények számának növekedésével folyamatosan csökken a látencia, ami a közbizalom erősödéséhez vezet.</w:t>
      </w:r>
    </w:p>
    <w:p w14:paraId="4CCBD90C" w14:textId="77777777" w:rsidR="00894155" w:rsidRPr="00894155" w:rsidRDefault="00894155" w:rsidP="0089133E">
      <w:pPr>
        <w:pStyle w:val="Stratgia3szintcme"/>
        <w:widowControl w:val="0"/>
        <w:spacing w:before="240"/>
        <w:rPr>
          <w:rFonts w:asciiTheme="majorHAnsi" w:eastAsiaTheme="minorHAnsi" w:hAnsiTheme="majorHAnsi" w:cstheme="minorBidi"/>
          <w:b w:val="0"/>
          <w:sz w:val="22"/>
          <w:szCs w:val="22"/>
        </w:rPr>
      </w:pPr>
      <w:r w:rsidRPr="00894155">
        <w:rPr>
          <w:rFonts w:asciiTheme="majorHAnsi" w:eastAsiaTheme="minorHAnsi" w:hAnsiTheme="majorHAnsi" w:cstheme="minorBidi"/>
          <w:b w:val="0"/>
          <w:sz w:val="22"/>
          <w:szCs w:val="22"/>
        </w:rPr>
        <w:t xml:space="preserve">A Belügyminisztérium előkészítette a 2020-2022 közötti időszakra szóló középtávú Nemzeti Korrupcióellenes Stratégiát, amelynek </w:t>
      </w:r>
      <w:bookmarkStart w:id="1" w:name="_Toc10555140"/>
      <w:r w:rsidRPr="00894155">
        <w:rPr>
          <w:rFonts w:asciiTheme="majorHAnsi" w:eastAsiaTheme="minorHAnsi" w:hAnsiTheme="majorHAnsi" w:cstheme="minorBidi"/>
          <w:b w:val="0"/>
          <w:sz w:val="22"/>
          <w:szCs w:val="22"/>
        </w:rPr>
        <w:t>kiemelt céljai a korrupcióellenes tevékenység</w:t>
      </w:r>
      <w:bookmarkEnd w:id="1"/>
      <w:r w:rsidRPr="00894155">
        <w:rPr>
          <w:rFonts w:asciiTheme="majorHAnsi" w:eastAsiaTheme="minorHAnsi" w:hAnsiTheme="majorHAnsi" w:cstheme="minorBidi"/>
          <w:b w:val="0"/>
          <w:sz w:val="22"/>
          <w:szCs w:val="22"/>
        </w:rPr>
        <w:t xml:space="preserve"> bővítése, </w:t>
      </w:r>
      <w:bookmarkStart w:id="2" w:name="_Toc10555141"/>
      <w:r w:rsidRPr="00894155">
        <w:rPr>
          <w:rFonts w:asciiTheme="majorHAnsi" w:eastAsiaTheme="minorHAnsi" w:hAnsiTheme="majorHAnsi" w:cstheme="minorBidi"/>
          <w:b w:val="0"/>
          <w:sz w:val="22"/>
          <w:szCs w:val="22"/>
        </w:rPr>
        <w:t>az integritási tudatosság folyamatos erősítése</w:t>
      </w:r>
      <w:bookmarkEnd w:id="2"/>
      <w:r w:rsidRPr="00894155">
        <w:rPr>
          <w:rFonts w:asciiTheme="majorHAnsi" w:eastAsiaTheme="minorHAnsi" w:hAnsiTheme="majorHAnsi" w:cstheme="minorBidi"/>
          <w:b w:val="0"/>
          <w:sz w:val="22"/>
          <w:szCs w:val="22"/>
        </w:rPr>
        <w:t xml:space="preserve"> és </w:t>
      </w:r>
      <w:bookmarkStart w:id="3" w:name="_Toc10555142"/>
      <w:r w:rsidRPr="00894155">
        <w:rPr>
          <w:rFonts w:asciiTheme="majorHAnsi" w:eastAsiaTheme="minorHAnsi" w:hAnsiTheme="majorHAnsi" w:cstheme="minorBidi"/>
          <w:b w:val="0"/>
          <w:sz w:val="22"/>
          <w:szCs w:val="22"/>
        </w:rPr>
        <w:t>az ügyintézési folyamatokban rejlő kockázatok további mérséklése</w:t>
      </w:r>
      <w:bookmarkEnd w:id="3"/>
      <w:r w:rsidRPr="00894155">
        <w:rPr>
          <w:rFonts w:asciiTheme="majorHAnsi" w:eastAsiaTheme="minorHAnsi" w:hAnsiTheme="majorHAnsi" w:cstheme="minorBidi"/>
          <w:b w:val="0"/>
          <w:sz w:val="22"/>
          <w:szCs w:val="22"/>
        </w:rPr>
        <w:t>.</w:t>
      </w:r>
    </w:p>
    <w:p w14:paraId="43528670" w14:textId="77777777" w:rsidR="00894155" w:rsidRPr="00894155" w:rsidRDefault="00894155" w:rsidP="0089133E">
      <w:pPr>
        <w:pStyle w:val="Stratgia3szintcme"/>
        <w:widowControl w:val="0"/>
        <w:spacing w:before="240"/>
        <w:rPr>
          <w:rFonts w:asciiTheme="majorHAnsi" w:eastAsiaTheme="minorHAnsi" w:hAnsiTheme="majorHAnsi" w:cstheme="minorBidi"/>
          <w:b w:val="0"/>
          <w:sz w:val="22"/>
          <w:szCs w:val="22"/>
        </w:rPr>
      </w:pPr>
      <w:r w:rsidRPr="00894155">
        <w:rPr>
          <w:rFonts w:asciiTheme="majorHAnsi" w:eastAsiaTheme="minorHAnsi" w:hAnsiTheme="majorHAnsi" w:cstheme="minorBidi"/>
          <w:b w:val="0"/>
          <w:sz w:val="22"/>
          <w:szCs w:val="22"/>
        </w:rPr>
        <w:t>Az előkészítés során továbbra is nagy hangsúlyt kap az államigazgatási szervek együttműködése, integritási, biztonsági, adatvédelmi, beszerzési tudatosságot fejlesztő tevékenységeik összehangolása.</w:t>
      </w:r>
    </w:p>
    <w:p w14:paraId="4FFC51CD" w14:textId="59897252" w:rsidR="0089133E" w:rsidRDefault="0089133E">
      <w:pPr>
        <w:spacing w:after="160" w:line="259" w:lineRule="auto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388B7D09" w14:textId="77777777" w:rsidR="00216E6A" w:rsidRPr="004D0603" w:rsidRDefault="00216E6A" w:rsidP="0089133E">
      <w:pPr>
        <w:pStyle w:val="Szvegtrzs"/>
        <w:pBdr>
          <w:bottom w:val="single" w:sz="6" w:space="1" w:color="auto"/>
        </w:pBdr>
        <w:rPr>
          <w:rFonts w:ascii="Book Antiqua" w:eastAsia="Calibri" w:hAnsi="Book Antiqua"/>
          <w:sz w:val="22"/>
          <w:szCs w:val="22"/>
          <w:lang w:eastAsia="en-US"/>
        </w:rPr>
      </w:pPr>
    </w:p>
    <w:p w14:paraId="7CEEB258" w14:textId="77777777" w:rsidR="00BF1157" w:rsidRDefault="00BF1157" w:rsidP="00F46C1D">
      <w:pPr>
        <w:rPr>
          <w:rFonts w:ascii="Book Antiqua" w:hAnsi="Book Antiqua"/>
          <w:sz w:val="22"/>
          <w:szCs w:val="22"/>
        </w:rPr>
      </w:pPr>
    </w:p>
    <w:p w14:paraId="10A2E87D" w14:textId="33B52285" w:rsidR="00AC28A3" w:rsidRPr="008E67BE" w:rsidRDefault="00541AE5" w:rsidP="00AC28A3">
      <w:pPr>
        <w:spacing w:after="120"/>
        <w:rPr>
          <w:rFonts w:asciiTheme="majorHAnsi" w:hAnsiTheme="majorHAnsi"/>
          <w:b/>
          <w:sz w:val="22"/>
          <w:szCs w:val="22"/>
        </w:rPr>
      </w:pPr>
      <w:r w:rsidRPr="008E67BE"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1F171AF1" wp14:editId="54716318">
            <wp:simplePos x="0" y="0"/>
            <wp:positionH relativeFrom="margin">
              <wp:posOffset>-62230</wp:posOffset>
            </wp:positionH>
            <wp:positionV relativeFrom="paragraph">
              <wp:posOffset>24130</wp:posOffset>
            </wp:positionV>
            <wp:extent cx="153098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33" y="21394"/>
                <wp:lineTo x="21233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A3" w:rsidRPr="008E67BE">
        <w:rPr>
          <w:rFonts w:asciiTheme="majorHAnsi" w:hAnsiTheme="majorHAnsi"/>
          <w:b/>
          <w:sz w:val="22"/>
          <w:szCs w:val="22"/>
        </w:rPr>
        <w:t>Az Állami Számvevőszék ellenőrzéseivel, elemzéseivel és széleskörű tanácsadó, tudásmegosztó tevékenységével 2019-ben is hozzájárult a megelőzésen alapuló korrupció elleni célkitűzések megvalósításához. Magyarországon mára kiépültek a korrupciós helyzetek megelőzését biztosító rendszerek, az elmúlt években megerősödött a közszféra integritása. Hazánk gazdasági eredményei, a magyar gazdaság dinamikus növekedése, illetve fenntartható kifehéredése alátámasztják a korrupció elleni rendszerszintű fellépés eredményességét.</w:t>
      </w:r>
    </w:p>
    <w:p w14:paraId="03C0F5FD" w14:textId="77777777" w:rsidR="008E67BE" w:rsidRPr="008E67BE" w:rsidRDefault="008E67BE" w:rsidP="008E67BE">
      <w:pPr>
        <w:numPr>
          <w:ilvl w:val="0"/>
          <w:numId w:val="2"/>
        </w:numPr>
        <w:spacing w:before="120" w:after="120" w:line="259" w:lineRule="auto"/>
        <w:contextualSpacing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Az Országgyűlés bízta meg a számvevőszéket a korrupció elleni fellépés erősítésével</w:t>
      </w:r>
    </w:p>
    <w:p w14:paraId="1CA99D6A" w14:textId="77777777" w:rsidR="008E67BE" w:rsidRPr="008E67BE" w:rsidRDefault="008E67BE" w:rsidP="008E67BE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Állami Számvevőszéket 2008-ban az Országgyűlés bízta meg azzal, hogy fordítson kiemelt figyelmet a korrupció elleni fellépésre.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ÁSZ erre alapozva, a holland számvevőszék mintáját alapul véve, 2009-ben – tehát tíz évvel ezelőtt – indította el Integritás Projektjét, amely ma már számos kezdeményezést foglal magába. Az integritás, vagy etikus magatartás/működés az OECD állásfoglalása szerint a jól irányított állam egyik sarokköve, amely elősegíti az államba vetett bizalom fenntartását és a korrupció megelőzését.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Az Állami Számvevőszék ezért egyik legfontosabb feladatának tekinti az integritásszemlélet kialakítását és elterjesztését. 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Az ennek érdekében kidolgozott „magyar modellt” ma már számos nemzetközi szervezet és külföldi társintézmény tekinti irányadó fejlesztésnek a korrupció elleni küzdelemben.</w:t>
      </w:r>
    </w:p>
    <w:p w14:paraId="3208AF52" w14:textId="77777777" w:rsidR="008E67BE" w:rsidRPr="008E67BE" w:rsidRDefault="008E67BE" w:rsidP="008E67BE">
      <w:pPr>
        <w:numPr>
          <w:ilvl w:val="0"/>
          <w:numId w:val="2"/>
        </w:numPr>
        <w:spacing w:before="120" w:after="120" w:line="259" w:lineRule="auto"/>
        <w:contextualSpacing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magyar közszférában elterjedt a korrupciós veszélyek ellen védettséget biztosító integritásszemlélet</w:t>
      </w:r>
    </w:p>
    <w:p w14:paraId="123A9F07" w14:textId="77777777" w:rsidR="008E67BE" w:rsidRPr="008E67BE" w:rsidRDefault="008E67BE" w:rsidP="008E67BE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 Állami Számvevőszék Integritás Projektjének keretében 2011 óta minden évben elvégzi a közszféra intézményeinek korrupciós veszélyeztetettségét, valamint a korrupciós kockázatok kezelésére szolgáló kontrollok kiépítettségét értékelő integritás felmérést. A 2019-es – sorrendben kilencedik – kérdőíves kutatáshoz – amelyet az ÁSZ a Nemzeti Közszolgálati Egyetemmel (NKE) együttműködve végez el – minden korábbinál több, mintegy 4200 közpénzből működő, közvagyon kezelő szervezet csatlakozott. Mindez azt bizonyítja, hogy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magyar közszféra szervezetei elkötelezettek a megelőzésen alapuló korrupció elleni fellépés eszközeinek szervezeti szintű alkalmazásában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. A 2019-es felmérés eredményeit az ÁSZ 2020 első felében hozza nyilvánosságra.</w:t>
      </w:r>
    </w:p>
    <w:p w14:paraId="6DF398E5" w14:textId="77777777" w:rsidR="008E67BE" w:rsidRPr="008E67BE" w:rsidRDefault="008E67BE" w:rsidP="008E67BE">
      <w:pPr>
        <w:numPr>
          <w:ilvl w:val="0"/>
          <w:numId w:val="2"/>
        </w:numPr>
        <w:spacing w:before="120" w:after="120" w:line="259" w:lineRule="auto"/>
        <w:contextualSpacing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Korrupciós veszélyek az egészségügyben és a pártok gazdálkodásában</w:t>
      </w:r>
    </w:p>
    <w:p w14:paraId="353D82BA" w14:textId="77777777" w:rsidR="008E67BE" w:rsidRPr="008E67BE" w:rsidRDefault="008E67BE" w:rsidP="008E67BE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 Állami Számvevőszék nemcsak elemzi és értékeli, hanem ellenőrzi is a korrupciós veszélyek ellen védettséget biztosító integritáskontrollok kialakítását és működtetését az egyes szervezeteknél.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2019-ben az ÁSZ mintegy 240 ellenőrzésében több mint 1000 ellenőrzött szervezetnél végezte el a korrupció elleni védettség ellenőrzését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, javaslataival pedig hozzájárult a korrupciós kockázatok csökkentéséhez.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 elemzések és ellenőrzések alapján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kiemelt figyelmet érdemel az egészségügy területe.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egészségügyben meglévő eredendő kockázatok, valamint a beazonosított korrupciós veszélyek, illetve az egészségügyi gazdálkodó szervezetek (kórházak, szakrendelők, irányítószervek) ellenőrzése során feltárt visszatérő szabálytalanságok és hiányosságok azt mutatják, hogy az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egészségügyben kiemelten magasak a korrupciós veszélyek. 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A „vészhelyzeti” betegellátás 2019 júniusában lezárt számvevőszéki ellenőrzése is a szabályozottság és átláthatóság hiányára, illetve az ezekből következő korrupciós veszélyekre világított rá.</w:t>
      </w:r>
    </w:p>
    <w:p w14:paraId="13CCE507" w14:textId="77777777" w:rsidR="008E67BE" w:rsidRPr="008E67BE" w:rsidRDefault="008E67BE" w:rsidP="008E67BE">
      <w:pPr>
        <w:spacing w:before="120" w:after="12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Másik terület – az ország korrupciós megítélését erőteljesen befolyásoló –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pártok gazdálkodása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Alapvető jogállami érdek és a közpénzeket érintő korrupció elleni védettség érdeke, hogy a döntő mértékből közpénzekből gazdálkodó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pártok szabályszerűen, elszámoltathatóan és átláthatóan gazdálkodjanak az adófizetőktől és a támogatóiktól kapott pénzekkel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. Amennyiben egy párt tiltott támogatást fogad el – vagy nem biztosítja a közpénzekkel való, törvényi előírásoknak megfelelő elszámoltatását – akkor nem biztosított az átlátható gazdálkodása, ami komoly korrupciós veszélyeket is felvet.</w:t>
      </w:r>
    </w:p>
    <w:p w14:paraId="367AEDA6" w14:textId="77777777" w:rsidR="008E67BE" w:rsidRPr="008E67BE" w:rsidRDefault="008E67BE" w:rsidP="008E67BE">
      <w:pPr>
        <w:numPr>
          <w:ilvl w:val="0"/>
          <w:numId w:val="2"/>
        </w:numPr>
        <w:spacing w:before="120" w:after="120" w:line="259" w:lineRule="auto"/>
        <w:contextualSpacing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gazdaság eredményei bizonyítják: rendszerszintű lépések történnek a korrupció visszaszorítása érdekében</w:t>
      </w:r>
    </w:p>
    <w:p w14:paraId="24FBC44F" w14:textId="77777777" w:rsidR="008E67BE" w:rsidRPr="008E67BE" w:rsidRDefault="008E67BE" w:rsidP="008E67BE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Szakmai konszenzus van abban, hogy a korrupció a gazdasági növekedés és a fejlődés egyik legfőbb gátja. A korrupcióval terhelt országokban általában lassul a gazdasági növekedés, csökken a termelékenység, visszaesnek a beruházások, sérül a verseny és társadalmi krízis alakul ki. A magyar gazdaság elmúlt években megvalósított eredményei ezzel homlokegyenest ellentétesek.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Az Állami Számvevőszék költségvetési és makrogazdasági elemzései azt mutatják, stabil és európai uniós, valamint régiós szinten is kiemelkedő – 5% feletti – Magyarország gazdasági növekedése.</w:t>
      </w:r>
    </w:p>
    <w:p w14:paraId="69A6DDB8" w14:textId="77777777" w:rsidR="008E67BE" w:rsidRPr="008E67BE" w:rsidRDefault="008E67BE" w:rsidP="008E67BE">
      <w:pPr>
        <w:spacing w:before="120" w:after="12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korrupció elleni rendszerszintű fellépés leglátványosabb eredménye a magyar gazdaság kiemelkedő mértékű fehéredése.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úgynevezett áfa-rés – ami a kivetett áfa és valóban a költségvetésbe beérkező általános forgalmi adó közötti különbséget jelenti – a 2013-as mintegy 23%-</w:t>
      </w:r>
      <w:proofErr w:type="spellStart"/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ról</w:t>
      </w:r>
      <w:proofErr w:type="spellEnd"/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2018-ra 9%-</w:t>
      </w:r>
      <w:proofErr w:type="spellStart"/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ra</w:t>
      </w:r>
      <w:proofErr w:type="spellEnd"/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csökkent az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Európai Statisztikai Hivatal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értékelése szerint. Ez az arány jobb, mint az európai uniós átlag és megközelítette, gyakorlatilag el is érte Ausztria szintjét. Ez nemcsak azt jelenti, hogy a központi költségvetésnek növekednek a bevételei. Az „áfa-fehéredés”, vagyis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korrupció elleni rendszerszintű fellépés kiszámítható, igazságos viszonyokat teremt, tisztítja a piaci folyamatokat, javítja az adófizetési hajlandóságot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és – ami talán a legfontosabb – egyfajta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társadalmi szemléletváltást is jelez.</w:t>
      </w:r>
    </w:p>
    <w:p w14:paraId="4194BF93" w14:textId="77777777" w:rsidR="008E67BE" w:rsidRPr="008E67BE" w:rsidRDefault="008E67BE" w:rsidP="008E67BE">
      <w:pPr>
        <w:numPr>
          <w:ilvl w:val="0"/>
          <w:numId w:val="2"/>
        </w:numPr>
        <w:spacing w:before="120" w:after="120" w:line="259" w:lineRule="auto"/>
        <w:ind w:left="714" w:hanging="357"/>
        <w:contextualSpacing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digitalizáció a korrupció elleni fellépés fontos eszköze</w:t>
      </w:r>
    </w:p>
    <w:p w14:paraId="02863B2E" w14:textId="77777777" w:rsidR="008E67BE" w:rsidRPr="008E67BE" w:rsidRDefault="008E67BE" w:rsidP="008E67BE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digitalizáció a magyar közszféra legjelentősebb kihívása, ami egyben a megelőzésen alapuló korrupció elleni fellépés hatékony eszköze is.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adó- és hatósági ügyintézés digitalizálása, illetve a kormányhivatali ügyek „egyablakossá” tétele, valamint digitális platformokra való terelése nemcsak gyorsítja, egyszerűsíti az egyes ügyek intézését, hanem minimalizálja a visszaélésre, korrupcióra lehetőséget adó helyzeteket.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Éppen ezért van nagy jelentősége a digitalizáció térnyerésének, a digitális ügyintézés kiterjesztésének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újabb és újabb területekre. Az Állami Számvevőszék a 2018-as tevékenységét összefoglaló tájékoztatóban felvetette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készpénzhasználat teljes felszámolását a közszférában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integritás növelése, valamint a korrupció kockázatának csökkentése érdekében. Mindez a bürokrácia, az adminisztráció csökkentését, illetve a korrupciós kockázatok további mérséklését eredményezheti.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Az ÁSZ oda kíván állni a magyar állam digitális átállásának élére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, az Országgyűlés a 2019. november 19-én elfogadott határozatában meg is erősítette az ÁSZ ez irányú törekvéseit.</w:t>
      </w:r>
    </w:p>
    <w:p w14:paraId="7298FFD7" w14:textId="77777777" w:rsidR="008E67BE" w:rsidRPr="008E67BE" w:rsidRDefault="008E67BE" w:rsidP="008E67BE">
      <w:pPr>
        <w:numPr>
          <w:ilvl w:val="0"/>
          <w:numId w:val="2"/>
        </w:numPr>
        <w:spacing w:before="120" w:after="120" w:line="259" w:lineRule="auto"/>
        <w:contextualSpacing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Nem megbízhatóak a korrupcióra vonatkozó nemzetközi mérési módszerek</w:t>
      </w:r>
    </w:p>
    <w:p w14:paraId="729BDAC8" w14:textId="77777777" w:rsidR="008E67BE" w:rsidRPr="008E67BE" w:rsidRDefault="008E67BE" w:rsidP="008E67BE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 Állami Számvevőszék közpénzügyi szakfolyóirata,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Pénzügyi Szemle 2019./3. száma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különböző nemzetközi mérési módszereket tudományos megbízhatóságának értékelését helyezte a fókuszába. A nemzetközileg is elismert, magyar-angol nyelvű tudományos lapban publikált tanulmányból egyértelműen kiderül, hogy </w:t>
      </w: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 nemzetközi korrupciós rangsorok – különös tekintettel a </w:t>
      </w:r>
      <w:proofErr w:type="spellStart"/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Transparency</w:t>
      </w:r>
      <w:proofErr w:type="spellEnd"/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International </w:t>
      </w:r>
      <w:proofErr w:type="spellStart"/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Corruption</w:t>
      </w:r>
      <w:proofErr w:type="spellEnd"/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Perception</w:t>
      </w:r>
      <w:proofErr w:type="spellEnd"/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Indexére – nem felelnek meg a mérésekkel szemben támasztott tudományos standardoknak, így nem alkalmasak az egyes országok összehasonlítására, tudományos következtetések levonására, illetve a közpolitikai döntések megalapozására sem. 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Ebből kiindulva az Állami Számvevőszék olyan objektív mérési módszertan kidolgozását szorgalmazza, amely alkalmas az egyes országok – így Magyarország – korrupciós helyzetének felmérésére és valós következtetések levonására és a javítások megalapozására.</w:t>
      </w:r>
    </w:p>
    <w:p w14:paraId="60252F5A" w14:textId="77777777" w:rsidR="008E67BE" w:rsidRPr="008E67BE" w:rsidRDefault="008E67BE" w:rsidP="008E67BE">
      <w:pPr>
        <w:numPr>
          <w:ilvl w:val="0"/>
          <w:numId w:val="2"/>
        </w:numPr>
        <w:spacing w:before="120" w:after="120" w:line="259" w:lineRule="auto"/>
        <w:contextualSpacing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Eredményes a korrupció elleni fellépés a magyar közszférában</w:t>
      </w:r>
    </w:p>
    <w:p w14:paraId="0D9683EA" w14:textId="77777777" w:rsidR="008E67BE" w:rsidRPr="008E67BE" w:rsidRDefault="008E67BE" w:rsidP="008E67BE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67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Az Állami Számvevőszék tapasztalatai szerint Magyarországon célzott és összehangolt lépések történnek a korrupció elleni fellépés területén</w:t>
      </w:r>
      <w:r w:rsidRPr="008E67BE">
        <w:rPr>
          <w:rFonts w:asciiTheme="minorHAnsi" w:eastAsiaTheme="minorHAnsi" w:hAnsiTheme="minorHAnsi" w:cstheme="minorBidi"/>
          <w:sz w:val="22"/>
          <w:szCs w:val="22"/>
          <w:lang w:eastAsia="en-US"/>
        </w:rPr>
        <w:t>, a magyar közszférában elterjedt az integritáselvű működés szemlélete, a magyar gazdaság eredményei pedig a korrupció elleni rendszerszintű fellépés eredményességét bizonyítják.</w:t>
      </w:r>
    </w:p>
    <w:p w14:paraId="1CE8419B" w14:textId="0875DD8A" w:rsidR="006A0673" w:rsidRDefault="006A0673">
      <w:pPr>
        <w:spacing w:after="160" w:line="259" w:lineRule="auto"/>
        <w:jc w:val="left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br w:type="page"/>
      </w:r>
    </w:p>
    <w:p w14:paraId="6BE12EDE" w14:textId="77777777" w:rsidR="006A0673" w:rsidRDefault="006A0673">
      <w:pPr>
        <w:pBdr>
          <w:bottom w:val="single" w:sz="6" w:space="1" w:color="auto"/>
        </w:pBdr>
        <w:rPr>
          <w:rFonts w:ascii="Book Antiqua" w:hAnsi="Book Antiqua"/>
          <w:sz w:val="22"/>
          <w:szCs w:val="22"/>
          <w:lang w:eastAsia="en-US"/>
        </w:rPr>
      </w:pPr>
    </w:p>
    <w:p w14:paraId="1939EF90" w14:textId="5EA81F0F" w:rsidR="006A0673" w:rsidRDefault="006A0673"/>
    <w:p w14:paraId="688BDFBD" w14:textId="087BFF88" w:rsidR="001B1666" w:rsidRPr="001B1666" w:rsidRDefault="001B1666" w:rsidP="001B1666">
      <w:pPr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423AC96" wp14:editId="35C4888B">
            <wp:simplePos x="0" y="0"/>
            <wp:positionH relativeFrom="margin">
              <wp:align>left</wp:align>
            </wp:positionH>
            <wp:positionV relativeFrom="paragraph">
              <wp:posOffset>7340</wp:posOffset>
            </wp:positionV>
            <wp:extent cx="963930" cy="1019175"/>
            <wp:effectExtent l="0" t="0" r="7620" b="9525"/>
            <wp:wrapTight wrapText="bothSides">
              <wp:wrapPolygon edited="0">
                <wp:start x="0" y="0"/>
                <wp:lineTo x="0" y="21398"/>
                <wp:lineTo x="21344" y="21398"/>
                <wp:lineTo x="21344" y="0"/>
                <wp:lineTo x="0" y="0"/>
              </wp:wrapPolygon>
            </wp:wrapTight>
            <wp:docPr id="11" name="Kép 11" descr="kur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ia-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66">
        <w:rPr>
          <w:rFonts w:asciiTheme="minorHAnsi" w:hAnsiTheme="minorHAnsi"/>
          <w:b/>
          <w:color w:val="000000" w:themeColor="text1"/>
          <w:sz w:val="22"/>
          <w:szCs w:val="22"/>
        </w:rPr>
        <w:t>A korrupció elkerülésének és az integritás megőrzésének legfontosabb garanciája a bírói függetlenség.</w:t>
      </w:r>
      <w:r w:rsidRPr="001B1666">
        <w:rPr>
          <w:rFonts w:asciiTheme="minorHAnsi" w:hAnsiTheme="minorHAnsi"/>
          <w:color w:val="000000" w:themeColor="text1"/>
          <w:sz w:val="22"/>
          <w:szCs w:val="22"/>
        </w:rPr>
        <w:t xml:space="preserve"> Magyarországon 150 évvel ezelőtt fogadták el a bírói hatalom gyakorlásáról szóló 1869. évi IV. törvénycikket, amely deklarálta, hogy a bíró csak a törvénynek és saját lelkiismeretének van alárendelve. Magyarország Alaptörvénye is rögzíti a bírói függetlenség garanciális elemeit: </w:t>
      </w:r>
      <w:r w:rsidRPr="001B1666">
        <w:rPr>
          <w:rFonts w:asciiTheme="minorHAnsi" w:hAnsiTheme="minorHAnsi"/>
          <w:b/>
          <w:color w:val="000000" w:themeColor="text1"/>
          <w:sz w:val="22"/>
          <w:szCs w:val="22"/>
        </w:rPr>
        <w:t>a bírák csak a törvénynek vannak alárendelve, ítélkezési tevékenységükben pedig nem utasíthatók</w:t>
      </w:r>
      <w:r w:rsidRPr="001B166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50E59C0" w14:textId="77777777" w:rsidR="001B1666" w:rsidRPr="001B1666" w:rsidRDefault="001B1666" w:rsidP="001B1666">
      <w:pPr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1B1666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proofErr w:type="gramStart"/>
      <w:r w:rsidRPr="001B1666">
        <w:rPr>
          <w:rFonts w:asciiTheme="minorHAnsi" w:hAnsiTheme="minorHAnsi"/>
          <w:color w:val="000000" w:themeColor="text1"/>
          <w:sz w:val="22"/>
          <w:szCs w:val="22"/>
        </w:rPr>
        <w:t>Kúria</w:t>
      </w:r>
      <w:proofErr w:type="gramEnd"/>
      <w:r w:rsidRPr="001B1666">
        <w:rPr>
          <w:rFonts w:asciiTheme="minorHAnsi" w:hAnsiTheme="minorHAnsi"/>
          <w:color w:val="000000" w:themeColor="text1"/>
          <w:sz w:val="22"/>
          <w:szCs w:val="22"/>
        </w:rPr>
        <w:t xml:space="preserve"> mint Magyarország legfőbb bírói szerveként végső fokon dönt egyedi ügyekben, emellett biztosítja a bíróságok jogalkalmazásának egységét, iránymutatást adva a jogesetek elbírálásához.</w:t>
      </w:r>
    </w:p>
    <w:p w14:paraId="6F844320" w14:textId="6EDBA4AE" w:rsidR="001B1666" w:rsidRPr="001B1666" w:rsidRDefault="001B1666" w:rsidP="001B1666">
      <w:pPr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1B1666">
        <w:rPr>
          <w:rFonts w:asciiTheme="minorHAnsi" w:hAnsiTheme="minorHAnsi"/>
          <w:b/>
          <w:color w:val="000000" w:themeColor="text1"/>
          <w:sz w:val="22"/>
          <w:szCs w:val="22"/>
        </w:rPr>
        <w:t>A Kúria minden évben számos, a korrupció köznapi értelemben vett fogalmába sorolható bűncselekmény kapcsán indult büntetőeljárásban hoz ítéletet</w:t>
      </w:r>
      <w:r w:rsidRPr="001B1666">
        <w:rPr>
          <w:rFonts w:asciiTheme="minorHAnsi" w:hAnsiTheme="minorHAnsi"/>
          <w:color w:val="000000" w:themeColor="text1"/>
          <w:sz w:val="22"/>
          <w:szCs w:val="22"/>
        </w:rPr>
        <w:t xml:space="preserve">. 2019-ben is több ilyen ügy került a legfőbb bírói fórum elé, illetve a Büntető Kollégium egy </w:t>
      </w:r>
      <w:r w:rsidRPr="001B16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a bíróságokra kötelező jogegységi határozatot </w:t>
      </w:r>
      <w:r w:rsidRPr="001B1666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Pr="001B1666">
        <w:rPr>
          <w:rFonts w:asciiTheme="minorHAnsi" w:hAnsiTheme="minorHAnsi"/>
          <w:b/>
          <w:color w:val="000000" w:themeColor="text1"/>
          <w:sz w:val="22"/>
          <w:szCs w:val="22"/>
        </w:rPr>
        <w:t>hoz</w:t>
      </w:r>
      <w:r w:rsidRPr="001B1666">
        <w:rPr>
          <w:rFonts w:asciiTheme="minorHAnsi" w:hAnsiTheme="minorHAnsi"/>
          <w:color w:val="000000" w:themeColor="text1"/>
          <w:sz w:val="22"/>
          <w:szCs w:val="22"/>
        </w:rPr>
        <w:t>ott</w:t>
      </w:r>
      <w:r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40101E08" w14:textId="77777777" w:rsidR="001B1666" w:rsidRPr="001B1666" w:rsidRDefault="001B1666" w:rsidP="001B1666">
      <w:pPr>
        <w:pStyle w:val="NormlWeb"/>
        <w:numPr>
          <w:ilvl w:val="0"/>
          <w:numId w:val="7"/>
        </w:numPr>
        <w:spacing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 xml:space="preserve">A Kúria Büntető Jogegységi Tanácsa 2019. május 6. napján megtartott ülésén </w:t>
      </w:r>
      <w:r w:rsidRPr="001B1666">
        <w:rPr>
          <w:rStyle w:val="Kiemels2"/>
          <w:rFonts w:asciiTheme="minorHAnsi" w:hAnsiTheme="minorHAnsi"/>
          <w:sz w:val="22"/>
          <w:szCs w:val="22"/>
        </w:rPr>
        <w:t xml:space="preserve">jogegységi határozatot hozott, amely rögzíti: </w:t>
      </w:r>
      <w:r w:rsidRPr="001B1666">
        <w:rPr>
          <w:rStyle w:val="Kiemels2"/>
          <w:rFonts w:asciiTheme="minorHAnsi" w:hAnsiTheme="minorHAnsi"/>
          <w:i/>
          <w:sz w:val="22"/>
          <w:szCs w:val="22"/>
        </w:rPr>
        <w:t>„</w:t>
      </w:r>
      <w:r w:rsidRPr="001B1666">
        <w:rPr>
          <w:rFonts w:asciiTheme="minorHAnsi" w:hAnsiTheme="minorHAnsi"/>
          <w:i/>
          <w:sz w:val="22"/>
          <w:szCs w:val="22"/>
        </w:rPr>
        <w:t xml:space="preserve">A gazdasági társaság vagyonkezelője a társaságban meglévő tulajdonosi helyzetétől függetlenül a társaság sérelmére megvalósuló hűtlen kezelés elkövetője lehet.” </w:t>
      </w:r>
      <w:r w:rsidRPr="001B1666">
        <w:rPr>
          <w:rFonts w:asciiTheme="minorHAnsi" w:hAnsiTheme="minorHAnsi"/>
          <w:sz w:val="22"/>
          <w:szCs w:val="22"/>
        </w:rPr>
        <w:t>(</w:t>
      </w:r>
      <w:r w:rsidRPr="001B1666">
        <w:rPr>
          <w:rFonts w:asciiTheme="minorHAnsi" w:hAnsiTheme="minorHAnsi"/>
          <w:b/>
          <w:sz w:val="22"/>
          <w:szCs w:val="22"/>
        </w:rPr>
        <w:t>BJE 1/2019.)</w:t>
      </w:r>
    </w:p>
    <w:p w14:paraId="455CF90A" w14:textId="77777777" w:rsidR="001B1666" w:rsidRPr="001B1666" w:rsidRDefault="001B1666" w:rsidP="001B1666">
      <w:pPr>
        <w:pStyle w:val="Listaszerbekezds"/>
        <w:numPr>
          <w:ilvl w:val="0"/>
          <w:numId w:val="7"/>
        </w:numPr>
        <w:ind w:left="284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 xml:space="preserve">A </w:t>
      </w:r>
      <w:r w:rsidRPr="001B1666">
        <w:rPr>
          <w:rFonts w:asciiTheme="minorHAnsi" w:hAnsiTheme="minorHAnsi"/>
          <w:b/>
          <w:sz w:val="22"/>
          <w:szCs w:val="22"/>
        </w:rPr>
        <w:t>Bfv.III.1310/2018/22</w:t>
      </w:r>
      <w:r w:rsidRPr="001B1666">
        <w:rPr>
          <w:rFonts w:asciiTheme="minorHAnsi" w:hAnsiTheme="minorHAnsi"/>
          <w:sz w:val="22"/>
          <w:szCs w:val="22"/>
        </w:rPr>
        <w:t>-es számú ügyben Budapest egyik kerületi önkormányzata az önkormányzat tulajdonában álló műemlék-ingatlan jóval a piaci áron aluli értékesítéséről döntött. A képviselő-testület úgy határozott, hogy a versenytárgyalás tartásától eltekint. A Kúria az összes terhelt cselekményét jelentős vagyoni hátrányt okozó hűtlen kezelés bűntettének minősítette, és elvi éllel rögzítette, hogy az önkormányzati képviselő gazdálkodás során kifejtett képviselői tevékenysége megalapozhatja a büntetőjogi felelősség vizsgálatát, ha leadott szavazatával olyan döntés meghozatalához járul hozzá, amely valamely bűncselekmény törvényi tényállásának ismérveit valósítja meg.</w:t>
      </w:r>
    </w:p>
    <w:p w14:paraId="71A1E6A7" w14:textId="77777777" w:rsidR="001B1666" w:rsidRPr="001B1666" w:rsidRDefault="001B1666" w:rsidP="001B1666">
      <w:pPr>
        <w:pStyle w:val="Standard"/>
        <w:numPr>
          <w:ilvl w:val="0"/>
          <w:numId w:val="7"/>
        </w:numPr>
        <w:ind w:left="284"/>
        <w:rPr>
          <w:rFonts w:asciiTheme="minorHAnsi" w:hAnsiTheme="minorHAnsi" w:cs="Courier New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  <w:lang w:eastAsia="hu-HU"/>
        </w:rPr>
        <w:t xml:space="preserve">A </w:t>
      </w:r>
      <w:r w:rsidRPr="001B1666">
        <w:rPr>
          <w:rFonts w:asciiTheme="minorHAnsi" w:hAnsiTheme="minorHAnsi"/>
          <w:b/>
          <w:sz w:val="22"/>
          <w:szCs w:val="22"/>
          <w:lang w:eastAsia="hu-HU"/>
        </w:rPr>
        <w:t>Bfv.I.14/2019/18</w:t>
      </w:r>
      <w:r w:rsidRPr="001B1666">
        <w:rPr>
          <w:rFonts w:asciiTheme="minorHAnsi" w:hAnsiTheme="minorHAnsi"/>
          <w:sz w:val="22"/>
          <w:szCs w:val="22"/>
          <w:lang w:eastAsia="hu-HU"/>
        </w:rPr>
        <w:t xml:space="preserve">-es számú (ún. </w:t>
      </w:r>
      <w:proofErr w:type="spellStart"/>
      <w:r w:rsidRPr="001B1666">
        <w:rPr>
          <w:rFonts w:asciiTheme="minorHAnsi" w:hAnsiTheme="minorHAnsi"/>
          <w:sz w:val="22"/>
          <w:szCs w:val="22"/>
          <w:lang w:eastAsia="hu-HU"/>
        </w:rPr>
        <w:t>Vizoviczky</w:t>
      </w:r>
      <w:proofErr w:type="spellEnd"/>
      <w:r w:rsidRPr="001B1666">
        <w:rPr>
          <w:rFonts w:asciiTheme="minorHAnsi" w:hAnsiTheme="minorHAnsi"/>
          <w:sz w:val="22"/>
          <w:szCs w:val="22"/>
          <w:lang w:eastAsia="hu-HU"/>
        </w:rPr>
        <w:t xml:space="preserve">-ügy) ügyben a Kúria helybenhagyta a jogerős döntést, amely megállapította a terheltek bűnösségét </w:t>
      </w:r>
      <w:r w:rsidRPr="001B1666">
        <w:rPr>
          <w:rFonts w:asciiTheme="minorHAnsi" w:hAnsiTheme="minorHAnsi" w:cs="Courier New"/>
          <w:sz w:val="22"/>
          <w:szCs w:val="22"/>
        </w:rPr>
        <w:t>bűnsegédként, folytatólagosan elkövetett költségvetési csalás bűntettében és bűnsegédként, folytatólagosan elkövetett magánokirat-hamisítás vétségében. Kimondta, hogy a terheltek bűnszervezetben követték el a bűncselekményt.</w:t>
      </w:r>
    </w:p>
    <w:p w14:paraId="730800A0" w14:textId="69DEEBF6" w:rsidR="001B1666" w:rsidRDefault="001B1666" w:rsidP="001B1666">
      <w:pPr>
        <w:pStyle w:val="Standard"/>
        <w:numPr>
          <w:ilvl w:val="0"/>
          <w:numId w:val="7"/>
        </w:numPr>
        <w:ind w:left="284"/>
        <w:rPr>
          <w:rFonts w:asciiTheme="minorHAnsi" w:hAnsiTheme="minorHAnsi" w:cs="Courier New"/>
          <w:sz w:val="22"/>
          <w:szCs w:val="22"/>
        </w:rPr>
      </w:pPr>
      <w:r w:rsidRPr="001B1666">
        <w:rPr>
          <w:rFonts w:asciiTheme="minorHAnsi" w:hAnsiTheme="minorHAnsi" w:cs="Courier New"/>
          <w:sz w:val="22"/>
          <w:szCs w:val="22"/>
        </w:rPr>
        <w:t>Egy friss kúriai döntésben (</w:t>
      </w:r>
      <w:r w:rsidRPr="001B1666">
        <w:rPr>
          <w:rFonts w:asciiTheme="minorHAnsi" w:hAnsiTheme="minorHAnsi" w:cs="Courier New"/>
          <w:b/>
          <w:bCs/>
          <w:sz w:val="22"/>
          <w:szCs w:val="22"/>
        </w:rPr>
        <w:t xml:space="preserve">Bhar.I.746/2019. </w:t>
      </w:r>
      <w:r w:rsidRPr="001B1666">
        <w:rPr>
          <w:rFonts w:asciiTheme="minorHAnsi" w:hAnsiTheme="minorHAnsi" w:cs="Courier New"/>
          <w:bCs/>
          <w:sz w:val="22"/>
          <w:szCs w:val="22"/>
        </w:rPr>
        <w:t>az MVM korábbi vezetőinek büntetőügye</w:t>
      </w:r>
      <w:r w:rsidRPr="001B1666">
        <w:rPr>
          <w:rFonts w:asciiTheme="minorHAnsi" w:hAnsiTheme="minorHAnsi" w:cs="Courier New"/>
          <w:b/>
          <w:bCs/>
          <w:sz w:val="22"/>
          <w:szCs w:val="22"/>
        </w:rPr>
        <w:t xml:space="preserve">) </w:t>
      </w:r>
      <w:r w:rsidRPr="001B1666">
        <w:rPr>
          <w:rFonts w:asciiTheme="minorHAnsi" w:hAnsiTheme="minorHAnsi" w:cs="Courier New"/>
          <w:bCs/>
          <w:sz w:val="22"/>
          <w:szCs w:val="22"/>
        </w:rPr>
        <w:t xml:space="preserve">az I. rendű terheltet – aki társtettesként, folytatólagosan elkövetett hűtlen kezelést és sikkasztást követett el – letöltendő szabadságvesztéssel sújtotta és </w:t>
      </w:r>
      <w:r w:rsidRPr="001B1666">
        <w:rPr>
          <w:rFonts w:asciiTheme="minorHAnsi" w:hAnsiTheme="minorHAnsi" w:cs="Courier New"/>
          <w:sz w:val="22"/>
          <w:szCs w:val="22"/>
        </w:rPr>
        <w:t>2.000.000 forint pénzbüntetésre is ítélte.</w:t>
      </w:r>
    </w:p>
    <w:p w14:paraId="280F269E" w14:textId="77777777" w:rsidR="001B1666" w:rsidRPr="001B1666" w:rsidRDefault="001B1666" w:rsidP="001B1666">
      <w:pPr>
        <w:pStyle w:val="Standard"/>
        <w:ind w:left="284"/>
        <w:rPr>
          <w:rFonts w:asciiTheme="minorHAnsi" w:hAnsiTheme="minorHAnsi" w:cs="Courier New"/>
          <w:sz w:val="22"/>
          <w:szCs w:val="22"/>
        </w:rPr>
      </w:pPr>
    </w:p>
    <w:p w14:paraId="2B2ED9D2" w14:textId="77777777" w:rsidR="001B1666" w:rsidRPr="001B1666" w:rsidRDefault="001B1666" w:rsidP="001B1666">
      <w:pPr>
        <w:pStyle w:val="Standard"/>
        <w:spacing w:after="240"/>
        <w:rPr>
          <w:rFonts w:asciiTheme="minorHAnsi" w:hAnsiTheme="minorHAnsi" w:cs="Courier New"/>
          <w:sz w:val="22"/>
          <w:szCs w:val="22"/>
        </w:rPr>
      </w:pPr>
      <w:r w:rsidRPr="001B1666">
        <w:rPr>
          <w:rFonts w:asciiTheme="minorHAnsi" w:hAnsiTheme="minorHAnsi" w:cs="Courier New"/>
          <w:sz w:val="22"/>
          <w:szCs w:val="22"/>
        </w:rPr>
        <w:t xml:space="preserve">A fenti jogesetek is mutatják, hogy </w:t>
      </w:r>
      <w:r w:rsidRPr="001B1666">
        <w:rPr>
          <w:rFonts w:asciiTheme="minorHAnsi" w:hAnsiTheme="minorHAnsi" w:cs="Courier New"/>
          <w:b/>
          <w:sz w:val="22"/>
          <w:szCs w:val="22"/>
        </w:rPr>
        <w:t>a Kúria kellő</w:t>
      </w:r>
      <w:r w:rsidRPr="001B1666">
        <w:rPr>
          <w:rFonts w:asciiTheme="minorHAnsi" w:hAnsiTheme="minorHAnsi" w:cs="Courier New"/>
          <w:sz w:val="22"/>
          <w:szCs w:val="22"/>
        </w:rPr>
        <w:t xml:space="preserve"> szigorral </w:t>
      </w:r>
      <w:r w:rsidRPr="001B1666">
        <w:rPr>
          <w:rFonts w:asciiTheme="minorHAnsi" w:hAnsiTheme="minorHAnsi" w:cs="Courier New"/>
          <w:b/>
          <w:sz w:val="22"/>
          <w:szCs w:val="22"/>
        </w:rPr>
        <w:t>érvényesíti az állam büntetőigényét, a társadalom rend és átláthatóság iránti elvárásait</w:t>
      </w:r>
      <w:r w:rsidRPr="001B1666">
        <w:rPr>
          <w:rFonts w:asciiTheme="minorHAnsi" w:hAnsiTheme="minorHAnsi" w:cs="Courier New"/>
          <w:sz w:val="22"/>
          <w:szCs w:val="22"/>
        </w:rPr>
        <w:t>, a büntető igazságszolgáltatás pedig a sértettek mellett áll.</w:t>
      </w:r>
    </w:p>
    <w:p w14:paraId="6FC5B7A7" w14:textId="77777777" w:rsidR="001B1666" w:rsidRPr="001B1666" w:rsidRDefault="001B1666" w:rsidP="001B1666">
      <w:pPr>
        <w:spacing w:after="240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 xml:space="preserve">Az ítélkező és a jogegységi feladatok ellátása mellett Kúria 2019-ben is számos olyan intézkedést tett, amely emeli a </w:t>
      </w:r>
      <w:r w:rsidRPr="001B1666">
        <w:rPr>
          <w:rFonts w:asciiTheme="minorHAnsi" w:hAnsiTheme="minorHAnsi"/>
          <w:b/>
          <w:sz w:val="22"/>
          <w:szCs w:val="22"/>
        </w:rPr>
        <w:t>korrupciómentes szervezeti kultúra színvonalá</w:t>
      </w:r>
      <w:r w:rsidRPr="001B1666">
        <w:rPr>
          <w:rFonts w:asciiTheme="minorHAnsi" w:hAnsiTheme="minorHAnsi"/>
          <w:sz w:val="22"/>
          <w:szCs w:val="22"/>
        </w:rPr>
        <w:t>t.</w:t>
      </w:r>
    </w:p>
    <w:p w14:paraId="607676F7" w14:textId="77777777" w:rsidR="001B1666" w:rsidRPr="001B1666" w:rsidRDefault="001B1666" w:rsidP="001B1666">
      <w:pPr>
        <w:spacing w:after="240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 xml:space="preserve">A Kúria idén </w:t>
      </w:r>
      <w:r w:rsidRPr="001B1666">
        <w:rPr>
          <w:rFonts w:asciiTheme="minorHAnsi" w:hAnsiTheme="minorHAnsi"/>
          <w:b/>
          <w:sz w:val="22"/>
          <w:szCs w:val="22"/>
        </w:rPr>
        <w:t>megújította a középtávú intézményi stratégiáját</w:t>
      </w:r>
      <w:r w:rsidRPr="001B1666">
        <w:rPr>
          <w:rFonts w:asciiTheme="minorHAnsi" w:hAnsiTheme="minorHAnsi"/>
          <w:sz w:val="22"/>
          <w:szCs w:val="22"/>
        </w:rPr>
        <w:t xml:space="preserve">, amelyben továbbra is </w:t>
      </w:r>
      <w:r w:rsidRPr="001B1666">
        <w:rPr>
          <w:rFonts w:asciiTheme="minorHAnsi" w:hAnsiTheme="minorHAnsi"/>
          <w:b/>
          <w:sz w:val="22"/>
          <w:szCs w:val="22"/>
        </w:rPr>
        <w:t>kiemelt helyen szerepelnek az átláthatóság, a hatékonyság alapértékei és a bírói hivatásrend által elfogadott erkölcsi értékek</w:t>
      </w:r>
      <w:r w:rsidRPr="001B1666">
        <w:rPr>
          <w:rFonts w:asciiTheme="minorHAnsi" w:hAnsiTheme="minorHAnsi"/>
          <w:sz w:val="22"/>
          <w:szCs w:val="22"/>
        </w:rPr>
        <w:t>. A tervdokumentum értelmében a Kúria elkötelezett a korrupciónak ellenálló szervezeti kultúra fenntartása és az integritásszemlélet megerősítése mellett.</w:t>
      </w:r>
    </w:p>
    <w:p w14:paraId="23649137" w14:textId="77777777" w:rsidR="001B1666" w:rsidRPr="001B1666" w:rsidRDefault="001B1666" w:rsidP="001B1666">
      <w:pPr>
        <w:spacing w:after="240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 xml:space="preserve">Az utóbbi évek egyik kihívásának a </w:t>
      </w:r>
      <w:r w:rsidRPr="001B1666">
        <w:rPr>
          <w:rFonts w:asciiTheme="minorHAnsi" w:hAnsiTheme="minorHAnsi"/>
          <w:b/>
          <w:sz w:val="22"/>
          <w:szCs w:val="22"/>
        </w:rPr>
        <w:t>személyes adatok</w:t>
      </w:r>
      <w:r w:rsidRPr="001B1666">
        <w:rPr>
          <w:rFonts w:asciiTheme="minorHAnsi" w:hAnsiTheme="minorHAnsi"/>
          <w:sz w:val="22"/>
          <w:szCs w:val="22"/>
        </w:rPr>
        <w:t xml:space="preserve">nak az európai uniós adatvédelmi rendelet (közismertebb nevén a GDPR) rendelkezéseinek </w:t>
      </w:r>
      <w:r w:rsidRPr="001B1666">
        <w:rPr>
          <w:rFonts w:asciiTheme="minorHAnsi" w:hAnsiTheme="minorHAnsi"/>
          <w:b/>
          <w:sz w:val="22"/>
          <w:szCs w:val="22"/>
        </w:rPr>
        <w:t>megfelelő védelme</w:t>
      </w:r>
      <w:r w:rsidRPr="001B1666">
        <w:rPr>
          <w:rFonts w:asciiTheme="minorHAnsi" w:hAnsiTheme="minorHAnsi"/>
          <w:sz w:val="22"/>
          <w:szCs w:val="22"/>
        </w:rPr>
        <w:t xml:space="preserve"> bizonyult. A Kúria minden ésszerű lépést megtett annak érdekében, hogy a természetes személyek különleges és személyes adataikat biztonságban tudhassák. A bíróságon GDPR megfelelést támogató munkacsoport működik, adatvédelmi felelős dolgozik, részletes adatkezelési szabályzat született, a munkatársak pedig adatvédelmi oktatásban részesülnek. Az adatvédelem szorosan összefügg az informatikai rendszerek biztonságával. Az elmúlt egy évben a Kúria e téren is intézkedéseket tett.</w:t>
      </w:r>
    </w:p>
    <w:p w14:paraId="4990717D" w14:textId="77777777" w:rsidR="001B1666" w:rsidRPr="001B1666" w:rsidRDefault="001B1666" w:rsidP="001B1666">
      <w:pPr>
        <w:spacing w:after="240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>Mindezen túl:</w:t>
      </w:r>
    </w:p>
    <w:p w14:paraId="455EAA44" w14:textId="77777777" w:rsidR="001B1666" w:rsidRPr="001B1666" w:rsidRDefault="001B1666" w:rsidP="001B1666">
      <w:pPr>
        <w:numPr>
          <w:ilvl w:val="0"/>
          <w:numId w:val="6"/>
        </w:numPr>
        <w:spacing w:line="254" w:lineRule="auto"/>
        <w:ind w:left="426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>módszertani útmutató készült az integritási és korrupciós kockázatok felméréséhez, valamint a korrupciómegelőzési intézkedési terv és az integritásjelentés elkészítéséhez;</w:t>
      </w:r>
    </w:p>
    <w:p w14:paraId="5BB6D515" w14:textId="77777777" w:rsidR="001B1666" w:rsidRPr="001B1666" w:rsidRDefault="001B1666" w:rsidP="001B1666">
      <w:pPr>
        <w:numPr>
          <w:ilvl w:val="0"/>
          <w:numId w:val="6"/>
        </w:numPr>
        <w:spacing w:line="254" w:lineRule="auto"/>
        <w:ind w:left="426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>az Állami Számvevőszék által útjára indított Integritási Felmérés kérdőívét a Kúria minden évben kitölti;</w:t>
      </w:r>
    </w:p>
    <w:p w14:paraId="1019736E" w14:textId="77777777" w:rsidR="001B1666" w:rsidRPr="001B1666" w:rsidRDefault="001B1666" w:rsidP="001B1666">
      <w:pPr>
        <w:numPr>
          <w:ilvl w:val="0"/>
          <w:numId w:val="6"/>
        </w:numPr>
        <w:spacing w:line="254" w:lineRule="auto"/>
        <w:ind w:left="426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>a Kúrián szabályzat született az egyéni és a szervezeti integritás megőrzése céljából,</w:t>
      </w:r>
    </w:p>
    <w:p w14:paraId="3B6DEC8C" w14:textId="77777777" w:rsidR="001B1666" w:rsidRPr="001B1666" w:rsidRDefault="001B1666" w:rsidP="001B1666">
      <w:pPr>
        <w:numPr>
          <w:ilvl w:val="0"/>
          <w:numId w:val="6"/>
        </w:numPr>
        <w:spacing w:line="254" w:lineRule="auto"/>
        <w:ind w:left="426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 xml:space="preserve">a Kúrián évek óta, féléves rendszerességgel kockázatkezelési munkacsoport ülésezik a bírósági működés során jelentkező kockázatok teljes körű számbavétele, integrált kezelése és hatékony megoldási javaslatok kidolgozása érdekében. </w:t>
      </w:r>
    </w:p>
    <w:p w14:paraId="5F5D213E" w14:textId="77777777" w:rsidR="001B1666" w:rsidRPr="001B1666" w:rsidRDefault="001B1666" w:rsidP="001B1666">
      <w:pPr>
        <w:spacing w:after="240"/>
        <w:rPr>
          <w:rFonts w:asciiTheme="minorHAnsi" w:hAnsiTheme="minorHAnsi"/>
          <w:sz w:val="22"/>
          <w:szCs w:val="22"/>
        </w:rPr>
      </w:pPr>
      <w:r w:rsidRPr="001B1666">
        <w:rPr>
          <w:rFonts w:asciiTheme="minorHAnsi" w:hAnsiTheme="minorHAnsi"/>
          <w:b/>
          <w:sz w:val="22"/>
          <w:szCs w:val="22"/>
        </w:rPr>
        <w:t>A Kúria kiemelt fontosságot tulajdonít annak, hogy belső szabályzatai valamennyi munkafolyamatot lefedjenek</w:t>
      </w:r>
      <w:r w:rsidRPr="001B1666">
        <w:rPr>
          <w:rFonts w:asciiTheme="minorHAnsi" w:hAnsiTheme="minorHAnsi"/>
          <w:sz w:val="22"/>
          <w:szCs w:val="22"/>
        </w:rPr>
        <w:t>, s hogy e szabályzatokat időről-időre, a jogszabályi változásoknak megfelelően módosítsa, illetve megújítsa. 2019-ben módosult a Szervezeti és Működési Szabályzat, a Szervezeti és Ügyelosztási Rend, megújult többek között a munkavédelmi szabályzat, a beszerzések és szerződéskötések rendjéről szóló szabályzat. Megújultak a gazdálkodást érintő szabályzatok is.</w:t>
      </w:r>
    </w:p>
    <w:p w14:paraId="7E529A6D" w14:textId="77777777" w:rsidR="001B1666" w:rsidRPr="001B1666" w:rsidRDefault="001B1666" w:rsidP="001B1666">
      <w:pPr>
        <w:spacing w:after="240"/>
        <w:rPr>
          <w:rFonts w:asciiTheme="minorHAnsi" w:hAnsiTheme="minorHAnsi"/>
          <w:iCs/>
          <w:sz w:val="22"/>
          <w:szCs w:val="22"/>
        </w:rPr>
      </w:pPr>
      <w:r w:rsidRPr="001B1666">
        <w:rPr>
          <w:rFonts w:asciiTheme="minorHAnsi" w:hAnsiTheme="minorHAnsi"/>
          <w:sz w:val="22"/>
          <w:szCs w:val="22"/>
        </w:rPr>
        <w:t xml:space="preserve">A Kúria hangsúlyozza, hogy </w:t>
      </w:r>
      <w:r w:rsidRPr="001B1666">
        <w:rPr>
          <w:rFonts w:asciiTheme="minorHAnsi" w:hAnsiTheme="minorHAnsi"/>
          <w:b/>
          <w:sz w:val="22"/>
          <w:szCs w:val="22"/>
        </w:rPr>
        <w:t>a megfelelő szabályozási környezet és az információtechnológiai háttér biztosítása mellett a kiszámítható, hosszú távon tervezhető életpálya biztosítása is fontos feltétele az integritást érintő</w:t>
      </w:r>
      <w:r w:rsidRPr="001B1666">
        <w:rPr>
          <w:rFonts w:asciiTheme="minorHAnsi" w:hAnsiTheme="minorHAnsi"/>
          <w:sz w:val="22"/>
          <w:szCs w:val="22"/>
        </w:rPr>
        <w:t xml:space="preserve"> – igen sok esetben emberi tényezőre visszavezethető – </w:t>
      </w:r>
      <w:r w:rsidRPr="001B1666">
        <w:rPr>
          <w:rFonts w:asciiTheme="minorHAnsi" w:hAnsiTheme="minorHAnsi"/>
          <w:b/>
          <w:sz w:val="22"/>
          <w:szCs w:val="22"/>
        </w:rPr>
        <w:t>incidensek elkerülésének</w:t>
      </w:r>
      <w:r w:rsidRPr="001B1666">
        <w:rPr>
          <w:rFonts w:asciiTheme="minorHAnsi" w:hAnsiTheme="minorHAnsi"/>
          <w:sz w:val="22"/>
          <w:szCs w:val="22"/>
        </w:rPr>
        <w:t>.</w:t>
      </w:r>
    </w:p>
    <w:p w14:paraId="363EA1C4" w14:textId="77777777" w:rsidR="006A0673" w:rsidRPr="00757406" w:rsidRDefault="006A0673" w:rsidP="001B1666">
      <w:pPr>
        <w:pStyle w:val="Szvegtrzs"/>
        <w:spacing w:after="240"/>
        <w:ind w:left="-142" w:right="-567"/>
        <w:rPr>
          <w:rFonts w:asciiTheme="minorHAnsi" w:hAnsiTheme="minorHAnsi"/>
          <w:sz w:val="22"/>
          <w:szCs w:val="22"/>
        </w:rPr>
      </w:pPr>
    </w:p>
    <w:p w14:paraId="72BC61AE" w14:textId="77777777" w:rsidR="006A0673" w:rsidRDefault="006A0673"/>
    <w:p w14:paraId="3FA6E73C" w14:textId="0101B7D0" w:rsidR="006A0673" w:rsidRPr="00CA6BDE" w:rsidRDefault="006A0673" w:rsidP="00AC28A3">
      <w:pPr>
        <w:spacing w:after="120"/>
        <w:rPr>
          <w:rFonts w:ascii="Book Antiqua" w:hAnsi="Book Antiqua"/>
          <w:sz w:val="22"/>
          <w:szCs w:val="22"/>
          <w:lang w:eastAsia="en-US"/>
        </w:rPr>
      </w:pPr>
    </w:p>
    <w:p w14:paraId="152985FE" w14:textId="24BFDFB4" w:rsidR="006A0673" w:rsidRDefault="006A0673">
      <w:pPr>
        <w:spacing w:after="160" w:line="259" w:lineRule="auto"/>
        <w:jc w:val="left"/>
        <w:rPr>
          <w:rFonts w:ascii="Book Antiqua" w:hAnsi="Book Antiqua"/>
          <w:b/>
          <w:color w:val="000000" w:themeColor="text1"/>
          <w:spacing w:val="-4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pacing w:val="-4"/>
          <w:sz w:val="22"/>
          <w:szCs w:val="22"/>
        </w:rPr>
        <w:br w:type="page"/>
      </w:r>
    </w:p>
    <w:p w14:paraId="6FF5B1F6" w14:textId="3FB925B3" w:rsidR="0040798F" w:rsidRDefault="0040798F" w:rsidP="00541AE5">
      <w:pPr>
        <w:pBdr>
          <w:bottom w:val="single" w:sz="6" w:space="1" w:color="auto"/>
        </w:pBdr>
        <w:spacing w:after="120"/>
        <w:rPr>
          <w:rFonts w:ascii="Book Antiqua" w:hAnsi="Book Antiqua"/>
          <w:b/>
          <w:color w:val="000000" w:themeColor="text1"/>
          <w:spacing w:val="-4"/>
          <w:sz w:val="22"/>
          <w:szCs w:val="22"/>
        </w:rPr>
      </w:pPr>
    </w:p>
    <w:p w14:paraId="527ECBC6" w14:textId="77777777" w:rsidR="00B71666" w:rsidRPr="001B1666" w:rsidRDefault="00B71666" w:rsidP="00B71666">
      <w:pPr>
        <w:spacing w:after="120"/>
        <w:rPr>
          <w:rFonts w:asciiTheme="majorHAnsi" w:hAnsiTheme="majorHAnsi"/>
          <w:color w:val="000000" w:themeColor="text1"/>
          <w:spacing w:val="-4"/>
          <w:sz w:val="22"/>
          <w:szCs w:val="22"/>
        </w:rPr>
      </w:pPr>
      <w:bookmarkStart w:id="4" w:name="_Hlk25831147"/>
      <w:r w:rsidRPr="001B1666">
        <w:rPr>
          <w:rFonts w:asciiTheme="majorHAnsi" w:hAnsiTheme="majorHAnsi"/>
          <w:noProof/>
        </w:rPr>
        <w:drawing>
          <wp:anchor distT="0" distB="0" distL="114300" distR="114300" simplePos="0" relativeHeight="251681792" behindDoc="1" locked="0" layoutInCell="1" allowOverlap="1" wp14:anchorId="63BB1D14" wp14:editId="2DAFE512">
            <wp:simplePos x="0" y="0"/>
            <wp:positionH relativeFrom="margin">
              <wp:align>left</wp:align>
            </wp:positionH>
            <wp:positionV relativeFrom="paragraph">
              <wp:posOffset>58547</wp:posOffset>
            </wp:positionV>
            <wp:extent cx="15652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293" y="21060"/>
                <wp:lineTo x="21293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66">
        <w:rPr>
          <w:rFonts w:asciiTheme="majorHAnsi" w:hAnsiTheme="majorHAnsi"/>
          <w:b/>
          <w:color w:val="000000" w:themeColor="text1"/>
          <w:spacing w:val="-4"/>
          <w:sz w:val="22"/>
          <w:szCs w:val="22"/>
        </w:rPr>
        <w:t>Az Országos Bírósági Hivatal fennállása óta elkötelezett az integritás erősítése iránt, nagy hangsúly fektet a bíróságok integritását biztosító szervezeti és működési rend kialakítására. Kiemelt feladatának tekinti az ítélkezési és igazgatási munka átláthatóságának, utóbbi kiszámíthatóságának és ellenőrzöttségének megvalósítását.</w:t>
      </w: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</w:t>
      </w:r>
      <w:bookmarkEnd w:id="4"/>
    </w:p>
    <w:p w14:paraId="3850B3CE" w14:textId="4FF3AE9E" w:rsidR="00B71666" w:rsidRPr="001B1666" w:rsidRDefault="00B71666" w:rsidP="00B71666">
      <w:pPr>
        <w:spacing w:after="120"/>
        <w:rPr>
          <w:rFonts w:asciiTheme="majorHAnsi" w:hAnsiTheme="majorHAnsi"/>
          <w:color w:val="000000" w:themeColor="text1"/>
          <w:spacing w:val="-4"/>
          <w:sz w:val="22"/>
          <w:szCs w:val="22"/>
        </w:rPr>
      </w:pP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Az Országos Bírósági Hivatal egyebek mellett integritási tárgyú együttműködésekkel, a bírák, igazságügyi alkalmazottak integritástudatosságát erősítő képzésekkel, jógyakorlatok megosztásával, az esetlegesen felmerülő kockázatok kezelési lehetőségének feltárásával, valamint integritási tárgyú belső szabályozók megalkotásával is támogatja a szervezet külső és belső biztonságát.  </w:t>
      </w:r>
    </w:p>
    <w:p w14:paraId="4D6C5D95" w14:textId="77777777" w:rsidR="00B71666" w:rsidRPr="001B1666" w:rsidRDefault="00B71666" w:rsidP="00B71666">
      <w:pPr>
        <w:spacing w:after="120"/>
        <w:rPr>
          <w:rFonts w:asciiTheme="majorHAnsi" w:hAnsiTheme="majorHAnsi"/>
          <w:color w:val="000000" w:themeColor="text1"/>
          <w:spacing w:val="-4"/>
          <w:sz w:val="22"/>
          <w:szCs w:val="22"/>
        </w:rPr>
      </w:pPr>
      <w:r w:rsidRPr="001B1666">
        <w:rPr>
          <w:rFonts w:asciiTheme="majorHAnsi" w:hAnsiTheme="majorHAnsi"/>
          <w:b/>
          <w:color w:val="000000" w:themeColor="text1"/>
          <w:spacing w:val="-4"/>
          <w:sz w:val="22"/>
          <w:szCs w:val="22"/>
        </w:rPr>
        <w:t>Az integritást sértő magatartásokkal kapcsolatos egységes fellépést az integritási szabályzatról szóló OBH utasítás biztosítja</w:t>
      </w: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, a bíróságokon </w:t>
      </w:r>
      <w:r w:rsidRPr="001B1666">
        <w:rPr>
          <w:rFonts w:asciiTheme="majorHAnsi" w:hAnsiTheme="majorHAnsi"/>
          <w:b/>
          <w:color w:val="000000" w:themeColor="text1"/>
          <w:spacing w:val="-4"/>
          <w:sz w:val="22"/>
          <w:szCs w:val="22"/>
        </w:rPr>
        <w:t>kijelölt integritásfelelős</w:t>
      </w: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fogadja a bírósági szervezet integritását érintő bejelentéseket. </w:t>
      </w:r>
    </w:p>
    <w:p w14:paraId="5F1D25FA" w14:textId="77777777" w:rsidR="00B71666" w:rsidRPr="001B1666" w:rsidRDefault="00B71666" w:rsidP="00B71666">
      <w:pPr>
        <w:spacing w:after="120"/>
        <w:rPr>
          <w:rFonts w:asciiTheme="majorHAnsi" w:hAnsiTheme="majorHAnsi"/>
          <w:color w:val="000000" w:themeColor="text1"/>
          <w:spacing w:val="-4"/>
          <w:sz w:val="22"/>
          <w:szCs w:val="22"/>
        </w:rPr>
      </w:pPr>
      <w:r w:rsidRPr="001B1666">
        <w:rPr>
          <w:rFonts w:asciiTheme="majorHAnsi" w:hAnsiTheme="majorHAnsi"/>
          <w:b/>
          <w:color w:val="000000" w:themeColor="text1"/>
          <w:spacing w:val="-4"/>
          <w:sz w:val="22"/>
          <w:szCs w:val="22"/>
        </w:rPr>
        <w:t>Az OBH 2012 óta Bírósági Integritás Munkacsoportot működtet</w:t>
      </w: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, melynek tagjai az idei évben is elemezték, értékelték a bíróságok integritási tárgyú bejelentéseit és szükség esetén javaslatot tettek az integritást érintő megoldásokra. A Munkacsoport részt vett a Nemzeti Korrupcióellenes Program összeállításában, javaslatokat fogalmazva meg többek között a készpénzfizetés korlátozásának lehetséges módozatairól. Kiemelendő, hogy 2019. március 4 óta működik az Országos Bírósági Hivatal által kifejlesztett önálló Bírósági Fizetési Portál, melynek célja a bírósági eljárásokhoz kapcsolódó elektronikus fizetési megoldások szélesebb körű biztosítása, valamint a befizetések ellenőrzésének megkönnyítése. </w:t>
      </w:r>
    </w:p>
    <w:p w14:paraId="44ADBD78" w14:textId="77777777" w:rsidR="00B71666" w:rsidRPr="001B1666" w:rsidRDefault="00B71666" w:rsidP="00B71666">
      <w:pPr>
        <w:spacing w:after="120"/>
        <w:rPr>
          <w:rFonts w:asciiTheme="majorHAnsi" w:hAnsiTheme="majorHAnsi"/>
          <w:color w:val="000000" w:themeColor="text1"/>
          <w:spacing w:val="-4"/>
          <w:sz w:val="22"/>
          <w:szCs w:val="22"/>
        </w:rPr>
      </w:pPr>
      <w:r w:rsidRPr="001B1666">
        <w:rPr>
          <w:rFonts w:asciiTheme="majorHAnsi" w:hAnsiTheme="majorHAnsi"/>
          <w:b/>
          <w:color w:val="000000" w:themeColor="text1"/>
          <w:spacing w:val="-4"/>
          <w:sz w:val="22"/>
          <w:szCs w:val="22"/>
        </w:rPr>
        <w:t>Az OBH képzések szervezésével is támogatja az integritással kapcsolatos dolgozói tudatosság erősítését.</w:t>
      </w: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Az Alkotmányvédelmi Hivatal munkatársainak közreműködésével rendszeresen szervez </w:t>
      </w:r>
      <w:proofErr w:type="spellStart"/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>Awarenes</w:t>
      </w:r>
      <w:proofErr w:type="spellEnd"/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képzést az informatikai biztonsági és a kapcsolati biztonsági kérdéseket illetően. 2019-ben az informatikai eszközök biztonságos használatáról és a </w:t>
      </w:r>
      <w:proofErr w:type="spellStart"/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>kibervédelem</w:t>
      </w:r>
      <w:proofErr w:type="spellEnd"/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fizikai hátterének biztosításáról </w:t>
      </w:r>
      <w:proofErr w:type="spellStart"/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>kiberbiztonsági</w:t>
      </w:r>
      <w:proofErr w:type="spellEnd"/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 képzés útján gondoskodott. Az Európai Általános Adatvédelmi Rendelet (GDPR) szabályai maradéktalan érvényesülése érdekében folyamatosan figyelemmel kíséri a GDPR-t és az ahhoz kapcsolódó magyar szabályozást is, ekként is biztosítva a rendelet hatékony alkalmazását. </w:t>
      </w:r>
    </w:p>
    <w:p w14:paraId="3A859528" w14:textId="77777777" w:rsidR="00B71666" w:rsidRPr="001B1666" w:rsidRDefault="00B71666" w:rsidP="00B71666">
      <w:pPr>
        <w:spacing w:after="120"/>
        <w:rPr>
          <w:rFonts w:asciiTheme="majorHAnsi" w:hAnsiTheme="majorHAnsi"/>
          <w:color w:val="000000" w:themeColor="text1"/>
          <w:spacing w:val="-4"/>
          <w:sz w:val="22"/>
          <w:szCs w:val="22"/>
        </w:rPr>
      </w:pP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Az OBH, az ítélőtáblák és a törvényszékek a korábbi évekhez hasonlóan 2019. őszén is </w:t>
      </w:r>
      <w:r w:rsidRPr="001B1666">
        <w:rPr>
          <w:rFonts w:asciiTheme="majorHAnsi" w:hAnsiTheme="majorHAnsi"/>
          <w:b/>
          <w:color w:val="000000" w:themeColor="text1"/>
          <w:spacing w:val="-4"/>
          <w:sz w:val="22"/>
          <w:szCs w:val="22"/>
        </w:rPr>
        <w:t xml:space="preserve">részt vettek az Állami Számvevőszék </w:t>
      </w:r>
      <w:proofErr w:type="spellStart"/>
      <w:r w:rsidRPr="001B1666">
        <w:rPr>
          <w:rFonts w:asciiTheme="majorHAnsi" w:hAnsiTheme="majorHAnsi"/>
          <w:b/>
          <w:color w:val="000000" w:themeColor="text1"/>
          <w:spacing w:val="-4"/>
          <w:sz w:val="22"/>
          <w:szCs w:val="22"/>
        </w:rPr>
        <w:t>intézménycsoportokénti</w:t>
      </w:r>
      <w:proofErr w:type="spellEnd"/>
      <w:r w:rsidRPr="001B1666">
        <w:rPr>
          <w:rFonts w:asciiTheme="majorHAnsi" w:hAnsiTheme="majorHAnsi"/>
          <w:b/>
          <w:color w:val="000000" w:themeColor="text1"/>
          <w:spacing w:val="-4"/>
          <w:sz w:val="22"/>
          <w:szCs w:val="22"/>
        </w:rPr>
        <w:t xml:space="preserve"> integritás felmérésében</w:t>
      </w: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. A felmérés eredményeiről készített legfrissebb összefoglaló ugyan még nem áll rendelkezésre, azonban az előző évek adatai azt igazolják, hogy az igazságszolgáltatásban dolgozók integritástudatossága kimagasló, az integritáskultúra magas szinten elterjedt a szervezetben. </w:t>
      </w:r>
    </w:p>
    <w:p w14:paraId="6D7CEBD8" w14:textId="5B5C12C0" w:rsidR="006A0673" w:rsidRPr="001B1666" w:rsidRDefault="00B71666" w:rsidP="00B71666">
      <w:pPr>
        <w:spacing w:after="120"/>
        <w:rPr>
          <w:rFonts w:asciiTheme="majorHAnsi" w:hAnsiTheme="majorHAnsi"/>
          <w:color w:val="000000" w:themeColor="text1"/>
          <w:spacing w:val="-4"/>
          <w:sz w:val="22"/>
          <w:szCs w:val="22"/>
        </w:rPr>
      </w:pP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 xml:space="preserve">A korábbi évek gyakorlatához hasonlóan </w:t>
      </w:r>
      <w:r w:rsidRPr="001B1666">
        <w:rPr>
          <w:rFonts w:asciiTheme="majorHAnsi" w:hAnsiTheme="majorHAnsi"/>
          <w:b/>
          <w:color w:val="000000" w:themeColor="text1"/>
          <w:spacing w:val="-4"/>
          <w:sz w:val="22"/>
          <w:szCs w:val="22"/>
        </w:rPr>
        <w:t>a bírák 2019-ben is kitöltötték az integritási kérdőívet, amely a bírósági szervezet integritását érintő folyamatok, körülmények megismerését célozta</w:t>
      </w:r>
      <w:r w:rsidRPr="001B1666">
        <w:rPr>
          <w:rFonts w:asciiTheme="majorHAnsi" w:hAnsiTheme="majorHAnsi"/>
          <w:color w:val="000000" w:themeColor="text1"/>
          <w:spacing w:val="-4"/>
          <w:sz w:val="22"/>
          <w:szCs w:val="22"/>
        </w:rPr>
        <w:t>. A kérdésekre adott válaszok azt igazolják, hogy a bírák felismerik és tudatosan kerülik az integritást veszélyeztető helyzeteket, függetlenül és befolyásmentesen ítélkeznek. Összehasonlítva a korábbi évek integritásfelmérésnek eredményeit megállapítható, hogy a bírák integritással kapcsolatos tudatossága évről évre erősödik, az ítélkezésben a törvényesség, a pártatlanság, a tisztesség és a diszkrimináció-mentesség, mint alapvető értékek maradéktalanul érvényesülnek.</w:t>
      </w:r>
    </w:p>
    <w:p w14:paraId="75061AF7" w14:textId="655C45BE" w:rsidR="00B71666" w:rsidRPr="001B1666" w:rsidRDefault="00B71666">
      <w:pPr>
        <w:spacing w:after="160" w:line="259" w:lineRule="auto"/>
        <w:jc w:val="left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br w:type="page"/>
      </w:r>
    </w:p>
    <w:p w14:paraId="1FEC698F" w14:textId="4B9A5D21" w:rsidR="00BF1157" w:rsidRDefault="00BF1157" w:rsidP="00F46C1D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</w:p>
    <w:p w14:paraId="68A0CD15" w14:textId="33F0809D" w:rsidR="00B71666" w:rsidRDefault="00B71666" w:rsidP="00F46C1D">
      <w:pPr>
        <w:rPr>
          <w:rFonts w:ascii="Book Antiqua" w:hAnsi="Book Antiqua"/>
          <w:sz w:val="22"/>
          <w:szCs w:val="22"/>
        </w:rPr>
      </w:pPr>
    </w:p>
    <w:p w14:paraId="46928C36" w14:textId="17196BA1" w:rsidR="00B71666" w:rsidRPr="001B1666" w:rsidRDefault="00AC25C5" w:rsidP="00B71666">
      <w:pPr>
        <w:spacing w:after="240"/>
        <w:rPr>
          <w:rFonts w:asciiTheme="majorHAnsi" w:hAnsiTheme="majorHAnsi"/>
          <w:b/>
          <w:sz w:val="22"/>
          <w:szCs w:val="22"/>
        </w:rPr>
      </w:pPr>
      <w:r w:rsidRPr="001B1666">
        <w:rPr>
          <w:rFonts w:asciiTheme="majorHAnsi" w:hAnsiTheme="majorHAnsi"/>
          <w:bCs/>
          <w:noProof/>
          <w:szCs w:val="24"/>
        </w:rPr>
        <w:drawing>
          <wp:anchor distT="0" distB="0" distL="114300" distR="114300" simplePos="0" relativeHeight="251683840" behindDoc="1" locked="0" layoutInCell="1" allowOverlap="1" wp14:anchorId="3384FC87" wp14:editId="36DB535A">
            <wp:simplePos x="0" y="0"/>
            <wp:positionH relativeFrom="column">
              <wp:posOffset>0</wp:posOffset>
            </wp:positionH>
            <wp:positionV relativeFrom="paragraph">
              <wp:posOffset>43282</wp:posOffset>
            </wp:positionV>
            <wp:extent cx="593090" cy="1035050"/>
            <wp:effectExtent l="19050" t="0" r="0" b="0"/>
            <wp:wrapTight wrapText="bothSides">
              <wp:wrapPolygon edited="0">
                <wp:start x="-694" y="0"/>
                <wp:lineTo x="-694" y="21070"/>
                <wp:lineTo x="21507" y="21070"/>
                <wp:lineTo x="21507" y="0"/>
                <wp:lineTo x="-694" y="0"/>
              </wp:wrapPolygon>
            </wp:wrapTight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666" w:rsidRPr="001B1666">
        <w:rPr>
          <w:rFonts w:asciiTheme="majorHAnsi" w:hAnsiTheme="majorHAnsi"/>
          <w:b/>
          <w:sz w:val="22"/>
          <w:szCs w:val="22"/>
        </w:rPr>
        <w:t>Az ügyészség a korrupcióval szembeni fellépést, illetve a szervezeti és személyi integritásának fejlesztését kiemelt fontosságú területként kezeli.</w:t>
      </w:r>
    </w:p>
    <w:p w14:paraId="4542C15A" w14:textId="77777777" w:rsidR="00AC25C5" w:rsidRPr="001B1666" w:rsidRDefault="00AC25C5" w:rsidP="00B71666">
      <w:pPr>
        <w:spacing w:after="240"/>
        <w:rPr>
          <w:rFonts w:asciiTheme="majorHAnsi" w:hAnsiTheme="majorHAnsi"/>
          <w:b/>
          <w:sz w:val="22"/>
          <w:szCs w:val="22"/>
        </w:rPr>
      </w:pPr>
    </w:p>
    <w:p w14:paraId="07A79741" w14:textId="77777777" w:rsidR="00F57D50" w:rsidRDefault="00F57D50" w:rsidP="00B71666">
      <w:pPr>
        <w:spacing w:after="240"/>
        <w:rPr>
          <w:rFonts w:asciiTheme="majorHAnsi" w:hAnsiTheme="majorHAnsi"/>
          <w:b/>
          <w:sz w:val="22"/>
          <w:szCs w:val="22"/>
        </w:rPr>
      </w:pPr>
    </w:p>
    <w:p w14:paraId="1D4A8367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b/>
          <w:sz w:val="22"/>
          <w:szCs w:val="22"/>
        </w:rPr>
        <w:t>A Központi Nyomozó Főügyészség korrupció elleni küzdelemben játszott szerepe az új Be. hatályba lépésével még hangsúlyosabbá vált</w:t>
      </w:r>
      <w:r w:rsidRPr="001B1666">
        <w:rPr>
          <w:rFonts w:asciiTheme="majorHAnsi" w:hAnsiTheme="majorHAnsi"/>
          <w:sz w:val="22"/>
          <w:szCs w:val="22"/>
        </w:rPr>
        <w:t xml:space="preserve">, hiszen a hivatali korrupciós bűncselekmények nyomozása kizárólagos ügyészségi hatáskörbe került. A korrupciós bűncselekmények felderítésének speciális jellegére figyelemmel, </w:t>
      </w:r>
      <w:r w:rsidRPr="001B1666">
        <w:rPr>
          <w:rFonts w:asciiTheme="majorHAnsi" w:hAnsiTheme="majorHAnsi"/>
          <w:b/>
          <w:sz w:val="22"/>
          <w:szCs w:val="22"/>
        </w:rPr>
        <w:t>a Központi Nyomozó Főügyészség különböző nyomozó hatóságokkal, felderítő szervekkel és a Nemzeti Védelmi Szolgálattal való hatékony együttműködése elengedhetetlen</w:t>
      </w:r>
      <w:r w:rsidRPr="001B1666">
        <w:rPr>
          <w:rFonts w:asciiTheme="majorHAnsi" w:hAnsiTheme="majorHAnsi"/>
          <w:sz w:val="22"/>
          <w:szCs w:val="22"/>
        </w:rPr>
        <w:t xml:space="preserve">. A feljelentés megtétele előtti titkos információgyűjtést és az új Be. hatályba lépésétől előkészítő eljárásokat folytató Nemzeti Védelmi Szolgálat tevékenységének eredménye számos ügyben alapozta meg a Központi Nyomozó Főügyészség sikeres eljárását. </w:t>
      </w:r>
    </w:p>
    <w:p w14:paraId="4FD5C13C" w14:textId="7510DBCF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b/>
          <w:sz w:val="22"/>
          <w:szCs w:val="22"/>
        </w:rPr>
        <w:t>A Legfőbb Ügyészség különös figyelmet fordított</w:t>
      </w:r>
      <w:r w:rsidRPr="001B1666">
        <w:rPr>
          <w:rFonts w:asciiTheme="majorHAnsi" w:hAnsiTheme="majorHAnsi"/>
          <w:sz w:val="22"/>
          <w:szCs w:val="22"/>
        </w:rPr>
        <w:t xml:space="preserve"> az ún. megbízhatósági vizsgálatok alapján </w:t>
      </w:r>
      <w:r w:rsidRPr="001B1666">
        <w:rPr>
          <w:rFonts w:asciiTheme="majorHAnsi" w:hAnsiTheme="majorHAnsi"/>
          <w:b/>
          <w:sz w:val="22"/>
          <w:szCs w:val="22"/>
        </w:rPr>
        <w:t>korrupciós bűncselekmények miatt indult eljárásokban a bizonyítás törvényességére</w:t>
      </w:r>
      <w:r w:rsidRPr="001B1666">
        <w:rPr>
          <w:rFonts w:asciiTheme="majorHAnsi" w:hAnsiTheme="majorHAnsi"/>
          <w:sz w:val="22"/>
          <w:szCs w:val="22"/>
        </w:rPr>
        <w:t xml:space="preserve">, amit komplex vizsgálat keretében végzett el.  Ez az ügyészségi jogalkalmazói gyakorlat elemzését, a visszatérő jogalkalmazási hibák kiszűrését, továbbá a megbízhatósági vizsgálattal összefüggő eljárási kérdések országosan egységes és helyes megítélésének biztosítását célozta. </w:t>
      </w:r>
    </w:p>
    <w:p w14:paraId="2DF3BB84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 xml:space="preserve">A nemzetközi együttműködés kapcsán </w:t>
      </w:r>
      <w:r w:rsidRPr="001B1666">
        <w:rPr>
          <w:rFonts w:asciiTheme="majorHAnsi" w:hAnsiTheme="majorHAnsi"/>
          <w:b/>
          <w:sz w:val="22"/>
          <w:szCs w:val="22"/>
        </w:rPr>
        <w:t>a magyar ügyészség</w:t>
      </w:r>
      <w:r w:rsidRPr="001B1666">
        <w:rPr>
          <w:rFonts w:asciiTheme="majorHAnsi" w:hAnsiTheme="majorHAnsi"/>
          <w:sz w:val="22"/>
          <w:szCs w:val="22"/>
        </w:rPr>
        <w:t xml:space="preserve"> – bár erre nincs törvényi kötelezettsége – </w:t>
      </w:r>
      <w:r w:rsidRPr="001B1666">
        <w:rPr>
          <w:rFonts w:asciiTheme="majorHAnsi" w:hAnsiTheme="majorHAnsi"/>
          <w:b/>
          <w:sz w:val="22"/>
          <w:szCs w:val="22"/>
        </w:rPr>
        <w:t>a mindig követett protokoll szerint az OLAF igazságügyi ajánlása nyomán valamennyi esetben elrendelte a nyomozást, illetve amennyiben már folyamatban volt a nyomozás, az OLAF ajánlását a nyomozás irataihoz csatolták és abban értékelték.</w:t>
      </w:r>
    </w:p>
    <w:p w14:paraId="7A6D8B9E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 xml:space="preserve">Az OLAF 2018-as éves jelentése szerint, </w:t>
      </w:r>
      <w:r w:rsidRPr="001B1666">
        <w:rPr>
          <w:rFonts w:asciiTheme="majorHAnsi" w:hAnsiTheme="majorHAnsi"/>
          <w:b/>
          <w:sz w:val="22"/>
          <w:szCs w:val="22"/>
        </w:rPr>
        <w:t xml:space="preserve">a magyar ügyészség az uniós átlagot </w:t>
      </w:r>
      <w:r w:rsidRPr="001B1666">
        <w:rPr>
          <w:rFonts w:asciiTheme="majorHAnsi" w:hAnsiTheme="majorHAnsi"/>
          <w:sz w:val="22"/>
          <w:szCs w:val="22"/>
        </w:rPr>
        <w:t xml:space="preserve">(36%) </w:t>
      </w:r>
      <w:r w:rsidRPr="001B1666">
        <w:rPr>
          <w:rFonts w:asciiTheme="majorHAnsi" w:hAnsiTheme="majorHAnsi"/>
          <w:b/>
          <w:sz w:val="22"/>
          <w:szCs w:val="22"/>
        </w:rPr>
        <w:t>lényegesen meghaladó mértékben</w:t>
      </w:r>
      <w:r w:rsidRPr="001B1666">
        <w:rPr>
          <w:rFonts w:asciiTheme="majorHAnsi" w:hAnsiTheme="majorHAnsi"/>
          <w:sz w:val="22"/>
          <w:szCs w:val="22"/>
        </w:rPr>
        <w:t>, az OLAF által kezdeményezett ügyek 45 %-</w:t>
      </w:r>
      <w:proofErr w:type="spellStart"/>
      <w:r w:rsidRPr="001B1666">
        <w:rPr>
          <w:rFonts w:asciiTheme="majorHAnsi" w:hAnsiTheme="majorHAnsi"/>
          <w:sz w:val="22"/>
          <w:szCs w:val="22"/>
        </w:rPr>
        <w:t>ában</w:t>
      </w:r>
      <w:proofErr w:type="spellEnd"/>
      <w:r w:rsidRPr="001B1666">
        <w:rPr>
          <w:rFonts w:asciiTheme="majorHAnsi" w:hAnsiTheme="majorHAnsi"/>
          <w:sz w:val="22"/>
          <w:szCs w:val="22"/>
        </w:rPr>
        <w:t xml:space="preserve"> </w:t>
      </w:r>
      <w:r w:rsidRPr="001B1666">
        <w:rPr>
          <w:rFonts w:asciiTheme="majorHAnsi" w:hAnsiTheme="majorHAnsi"/>
          <w:b/>
          <w:sz w:val="22"/>
          <w:szCs w:val="22"/>
        </w:rPr>
        <w:t>emelt vádat 2012 és 2018 között</w:t>
      </w:r>
      <w:r w:rsidRPr="001B1666">
        <w:rPr>
          <w:rFonts w:asciiTheme="majorHAnsi" w:hAnsiTheme="majorHAnsi"/>
          <w:sz w:val="22"/>
          <w:szCs w:val="22"/>
        </w:rPr>
        <w:t xml:space="preserve">. </w:t>
      </w:r>
    </w:p>
    <w:p w14:paraId="57923657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b/>
          <w:sz w:val="22"/>
          <w:szCs w:val="22"/>
        </w:rPr>
        <w:t>Az OLAF magyar ügyészséghez eljuttatott igazságügyi ajánlásainak a száma folyamatosan csökkent</w:t>
      </w:r>
      <w:r w:rsidRPr="001B1666">
        <w:rPr>
          <w:rFonts w:asciiTheme="majorHAnsi" w:hAnsiTheme="majorHAnsi"/>
          <w:sz w:val="22"/>
          <w:szCs w:val="22"/>
        </w:rPr>
        <w:t xml:space="preserve"> az elmúlt években. 2015-ben és 2016-ban még 10-10 ajánlás érkezett, 2017-ben már csak 6 ajánlás, 2018-ban 4, míg 2019-ben eddig még egy sem.</w:t>
      </w:r>
    </w:p>
    <w:p w14:paraId="1F3B90E2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>Az OLAF egyre többször olyan ügyben tesz igazságügyi ajánlást, amelyben már folyik Magyarországon nyomozás.</w:t>
      </w:r>
    </w:p>
    <w:p w14:paraId="54D58EDB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 xml:space="preserve">Az OLAF mellett ugyancsak figyelemre méltó az EUROJUST előtt megnyitott magyar ügyek számának folyamatos növekedése. </w:t>
      </w:r>
      <w:r w:rsidRPr="001B1666">
        <w:rPr>
          <w:rFonts w:asciiTheme="majorHAnsi" w:hAnsiTheme="majorHAnsi"/>
          <w:b/>
          <w:sz w:val="22"/>
          <w:szCs w:val="22"/>
        </w:rPr>
        <w:t>A magyar ügyészség továbbra is az Európai Unió igazságügyi együttműködésének kifejezetten aktív résztvevői közé tartozik</w:t>
      </w:r>
      <w:r w:rsidRPr="001B1666">
        <w:rPr>
          <w:rFonts w:asciiTheme="majorHAnsi" w:hAnsiTheme="majorHAnsi"/>
          <w:sz w:val="22"/>
          <w:szCs w:val="22"/>
        </w:rPr>
        <w:t xml:space="preserve">, Magyarország tavaly kezdeményező tagállamként 117 konkrét bűncselekmények kapcsán regisztrált ügynek, míg megkeresett tagállamként 109 ilyen ügynek volt a részese. </w:t>
      </w:r>
      <w:r w:rsidRPr="001B1666">
        <w:rPr>
          <w:rFonts w:asciiTheme="majorHAnsi" w:hAnsiTheme="majorHAnsi"/>
          <w:b/>
          <w:sz w:val="22"/>
          <w:szCs w:val="22"/>
        </w:rPr>
        <w:t>Hazánk jelenleg első a tagállamok között, a kiemelt bűncselekmények kapcsán történő információátadás terén</w:t>
      </w:r>
      <w:r w:rsidRPr="001B1666">
        <w:rPr>
          <w:rFonts w:asciiTheme="majorHAnsi" w:hAnsiTheme="majorHAnsi"/>
          <w:sz w:val="22"/>
          <w:szCs w:val="22"/>
        </w:rPr>
        <w:t>.</w:t>
      </w:r>
    </w:p>
    <w:p w14:paraId="1FD65C99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>Az uniós szervezet és a magyar ügyészség eredményes munkakapcsolatot ápol, ügyészeink egyre több koordinációs értekezleten vesznek részt, és évről-évre emelkedik a közös nyomozócsoportok száma is.</w:t>
      </w:r>
    </w:p>
    <w:p w14:paraId="2A485A46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>A nyilvánosság hiteles tájékoztatása érdekében a korrupciós ügyekben tett intézkedéseinkről (pl.: letartóztatás indítványozása, vádemelés, fellebbezés) csak ebben az évben több, mint 40 sajtóközleményben számoltunk be.</w:t>
      </w:r>
    </w:p>
    <w:p w14:paraId="28611FEB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 xml:space="preserve">Az ügyészség – az Állami Számvevőszékkel folytatott együttműködés keretében – ismételten részt vett az ÁSZ országos integritás felmérésében. </w:t>
      </w:r>
    </w:p>
    <w:p w14:paraId="5D27CE2F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b/>
          <w:sz w:val="22"/>
          <w:szCs w:val="22"/>
        </w:rPr>
        <w:t xml:space="preserve">Az ügyészség saját szervezetének integritás felmérését is éves rendszerességgel végzi. </w:t>
      </w:r>
      <w:r w:rsidRPr="001B1666">
        <w:rPr>
          <w:rFonts w:asciiTheme="majorHAnsi" w:hAnsiTheme="majorHAnsi"/>
          <w:sz w:val="22"/>
          <w:szCs w:val="22"/>
        </w:rPr>
        <w:t xml:space="preserve">A felmérések eredményei lehetőséget biztosítanak az ügyészség számára, hogy ezáltal fejlessze integritásirányítási rendszerét és megtalálja azokat az eszközöket, amelyek leghatékonyabban szolgálják az elérni kívánt szervezeti célkitűzéseket. </w:t>
      </w:r>
    </w:p>
    <w:p w14:paraId="1FF724E7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b/>
          <w:sz w:val="22"/>
          <w:szCs w:val="22"/>
        </w:rPr>
        <w:t>A Belügyminisztériummal évek óta folytatott közös együttműködés keretében ügyészségi telefonos vészhívó rendszer működik.</w:t>
      </w:r>
      <w:r w:rsidRPr="001B1666">
        <w:rPr>
          <w:rFonts w:asciiTheme="majorHAnsi" w:hAnsiTheme="majorHAnsi"/>
          <w:sz w:val="22"/>
          <w:szCs w:val="22"/>
        </w:rPr>
        <w:t xml:space="preserve"> Ennek köszönhetően az ügyészségi épületek, a személyi állomány és az adatvagyon a korábbiakhoz képest nagyobb védelemben részesül. </w:t>
      </w:r>
    </w:p>
    <w:p w14:paraId="7104EAE8" w14:textId="77777777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 xml:space="preserve">A telefonos vészhívó rendszer mellett, az ügyészség az eltelt időszakban </w:t>
      </w:r>
      <w:r w:rsidRPr="001B1666">
        <w:rPr>
          <w:rFonts w:asciiTheme="majorHAnsi" w:hAnsiTheme="majorHAnsi"/>
          <w:b/>
          <w:sz w:val="22"/>
          <w:szCs w:val="22"/>
        </w:rPr>
        <w:t>jelentős mértékben fejlesztette a szervezeti egységek biztonságtechnikai rendszereit</w:t>
      </w:r>
      <w:r w:rsidRPr="001B1666">
        <w:rPr>
          <w:rFonts w:asciiTheme="majorHAnsi" w:hAnsiTheme="majorHAnsi"/>
          <w:sz w:val="22"/>
          <w:szCs w:val="22"/>
        </w:rPr>
        <w:t>. Ezen rendszerek által biztosított védelem a személyi integritást is növeli.</w:t>
      </w:r>
    </w:p>
    <w:p w14:paraId="2C82C54D" w14:textId="2D006693" w:rsidR="00B71666" w:rsidRPr="001B1666" w:rsidRDefault="00B71666" w:rsidP="00B71666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b/>
          <w:sz w:val="22"/>
          <w:szCs w:val="22"/>
        </w:rPr>
        <w:t>A szervezet belső integritásának megőrzése és fejlesztése nemcsak az elvégzendő ügyészi munka hatékonyságát növeli, hanem az esetlegesen felmerülő korrupciós kockázatokat is jelentősen csökkenti.</w:t>
      </w:r>
      <w:r w:rsidRPr="001B1666">
        <w:rPr>
          <w:rFonts w:asciiTheme="majorHAnsi" w:hAnsiTheme="majorHAnsi"/>
          <w:sz w:val="22"/>
          <w:szCs w:val="22"/>
        </w:rPr>
        <w:t xml:space="preserve"> E célt szem előtt tartva az ügyészség folyamatosan oktatási programokat szervez.</w:t>
      </w:r>
    </w:p>
    <w:p w14:paraId="036BD6D2" w14:textId="5B1CD95B" w:rsidR="00AC25C5" w:rsidRPr="001B1666" w:rsidRDefault="00AC25C5">
      <w:pPr>
        <w:spacing w:after="160" w:line="259" w:lineRule="auto"/>
        <w:jc w:val="left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br w:type="page"/>
      </w:r>
    </w:p>
    <w:p w14:paraId="7CCB5232" w14:textId="1F1D35B6" w:rsidR="00AC25C5" w:rsidRDefault="00AC25C5" w:rsidP="00B71666">
      <w:pPr>
        <w:pBdr>
          <w:bottom w:val="single" w:sz="6" w:space="1" w:color="auto"/>
        </w:pBdr>
        <w:spacing w:after="240"/>
        <w:rPr>
          <w:rFonts w:ascii="Book Antiqua" w:hAnsi="Book Antiqua"/>
          <w:sz w:val="22"/>
          <w:szCs w:val="22"/>
        </w:rPr>
      </w:pPr>
    </w:p>
    <w:p w14:paraId="46B29B66" w14:textId="6EF38611" w:rsidR="00AC25C5" w:rsidRPr="001B1666" w:rsidRDefault="00B60C48" w:rsidP="00AC25C5">
      <w:pPr>
        <w:spacing w:after="240"/>
        <w:rPr>
          <w:rFonts w:asciiTheme="majorHAnsi" w:hAnsiTheme="majorHAnsi"/>
          <w:b/>
          <w:sz w:val="22"/>
          <w:szCs w:val="22"/>
        </w:rPr>
      </w:pPr>
      <w:r w:rsidRPr="001B1666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F6B361C" wp14:editId="3BEAD9F6">
            <wp:simplePos x="0" y="0"/>
            <wp:positionH relativeFrom="margin">
              <wp:align>left</wp:align>
            </wp:positionH>
            <wp:positionV relativeFrom="margin">
              <wp:posOffset>377266</wp:posOffset>
            </wp:positionV>
            <wp:extent cx="1028700" cy="1028700"/>
            <wp:effectExtent l="0" t="0" r="0" b="0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jmnb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5C5" w:rsidRPr="001B1666">
        <w:rPr>
          <w:rFonts w:asciiTheme="majorHAnsi" w:hAnsiTheme="majorHAnsi"/>
          <w:b/>
          <w:sz w:val="22"/>
          <w:szCs w:val="22"/>
        </w:rPr>
        <w:t>A Magyar Nemzeti Bank (MNB) négy éve vesz részt a Nemzeti Korrupcióellenes Program keretében az állami szervek korrupcióellenes együttműködésében, ezzel is megerősítve elkötelezettségét az integritás-alapú szervezeti kultúra folyamatos fejlesztése, az értékorientált működés megvalósítása mellett. A jegybank továbbra is fellép a jogi és etikai normákat esetlegesen megsértőkkel szemben, s olyan megelőző eszközöket alkalmaz, amelyek az integritás megerősítését és a korrupció megakadályozását szolgálják.</w:t>
      </w:r>
    </w:p>
    <w:p w14:paraId="4D008048" w14:textId="77777777" w:rsidR="00AC25C5" w:rsidRPr="001B1666" w:rsidRDefault="00AC25C5" w:rsidP="00AC25C5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 xml:space="preserve">Az MNB napokban publikálandó </w:t>
      </w:r>
      <w:r w:rsidRPr="001B1666">
        <w:rPr>
          <w:rFonts w:asciiTheme="majorHAnsi" w:hAnsiTheme="majorHAnsi"/>
          <w:b/>
          <w:sz w:val="22"/>
          <w:szCs w:val="22"/>
        </w:rPr>
        <w:t>6 éves felügyeleti stratégiájában</w:t>
      </w:r>
      <w:r w:rsidRPr="001B1666">
        <w:rPr>
          <w:rFonts w:asciiTheme="majorHAnsi" w:hAnsiTheme="majorHAnsi"/>
          <w:sz w:val="22"/>
          <w:szCs w:val="22"/>
        </w:rPr>
        <w:t xml:space="preserve"> ennek megfelelően </w:t>
      </w:r>
      <w:r w:rsidRPr="001B1666">
        <w:rPr>
          <w:rFonts w:asciiTheme="majorHAnsi" w:hAnsiTheme="majorHAnsi"/>
          <w:b/>
          <w:sz w:val="22"/>
          <w:szCs w:val="22"/>
        </w:rPr>
        <w:t>kiemelt értékként nevesítette az integritást</w:t>
      </w:r>
      <w:r w:rsidRPr="001B1666">
        <w:rPr>
          <w:rFonts w:asciiTheme="majorHAnsi" w:hAnsiTheme="majorHAnsi"/>
          <w:sz w:val="22"/>
          <w:szCs w:val="22"/>
        </w:rPr>
        <w:t>, amely az elkövetkezendő évek feladatellátásában az eddiginél még hangsúlyosabb prioritást kap.</w:t>
      </w:r>
    </w:p>
    <w:p w14:paraId="325C7C7B" w14:textId="77777777" w:rsidR="00B60C48" w:rsidRPr="001B1666" w:rsidRDefault="00B60C48" w:rsidP="00B60C48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b/>
          <w:sz w:val="22"/>
          <w:szCs w:val="22"/>
        </w:rPr>
        <w:t>Az MNB hatósági eljárásaiban 2018-tól áttért az elektronikus ügyintézésre, ami növeli az adatkezelés, archiválás biztonságát, illetve az ügyintézési folyamatok nyomon követhetőségét.</w:t>
      </w:r>
      <w:r w:rsidRPr="001B1666">
        <w:rPr>
          <w:rFonts w:asciiTheme="majorHAnsi" w:hAnsiTheme="majorHAnsi"/>
          <w:sz w:val="22"/>
          <w:szCs w:val="22"/>
        </w:rPr>
        <w:t xml:space="preserve"> A jegybanki tevékenység abból a szempontból is átlátható, hogy a piaci szereplők nyilvántartását, illetve a felügyeleti eljárásokban hozott döntéseit és az alkalmazott szankcióit is publikálja, a fogyasztók szélesebb körét érintő kérdésekben konkrét figyelemfelhívásokat ad ki.</w:t>
      </w:r>
    </w:p>
    <w:p w14:paraId="27461709" w14:textId="738B4A9F" w:rsidR="00AC25C5" w:rsidRPr="001B1666" w:rsidRDefault="00AC25C5" w:rsidP="00AC25C5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 xml:space="preserve">Az integritás, mint téma és annak kezelése az MNB vezetésének döntése értelmében a jegybankon belül magasabb szintet nyert az idei évtől. </w:t>
      </w:r>
      <w:r w:rsidRPr="001B1666">
        <w:rPr>
          <w:rFonts w:asciiTheme="majorHAnsi" w:hAnsiTheme="majorHAnsi"/>
          <w:b/>
          <w:sz w:val="22"/>
          <w:szCs w:val="22"/>
        </w:rPr>
        <w:t xml:space="preserve">Az MNB megalakította </w:t>
      </w:r>
      <w:proofErr w:type="spellStart"/>
      <w:r w:rsidRPr="001B1666">
        <w:rPr>
          <w:rFonts w:asciiTheme="majorHAnsi" w:hAnsiTheme="majorHAnsi"/>
          <w:b/>
          <w:sz w:val="22"/>
          <w:szCs w:val="22"/>
        </w:rPr>
        <w:t>compliance</w:t>
      </w:r>
      <w:proofErr w:type="spellEnd"/>
      <w:r w:rsidRPr="001B1666">
        <w:rPr>
          <w:rFonts w:asciiTheme="majorHAnsi" w:hAnsiTheme="majorHAnsi"/>
          <w:b/>
          <w:sz w:val="22"/>
          <w:szCs w:val="22"/>
        </w:rPr>
        <w:t xml:space="preserve"> szakterületét</w:t>
      </w:r>
      <w:r w:rsidRPr="001B1666">
        <w:rPr>
          <w:rFonts w:asciiTheme="majorHAnsi" w:hAnsiTheme="majorHAnsi"/>
          <w:sz w:val="22"/>
          <w:szCs w:val="22"/>
        </w:rPr>
        <w:t xml:space="preserve">, amely önálló szervezeti egységként (főosztályként) működik a szervezeten belül. </w:t>
      </w:r>
    </w:p>
    <w:p w14:paraId="46EE75AF" w14:textId="77777777" w:rsidR="00AC25C5" w:rsidRPr="001B1666" w:rsidRDefault="00AC25C5" w:rsidP="00AC25C5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 xml:space="preserve">Az MNB felügyeleti területén alapelv, hogy </w:t>
      </w:r>
      <w:r w:rsidRPr="001B1666">
        <w:rPr>
          <w:rFonts w:asciiTheme="majorHAnsi" w:hAnsiTheme="majorHAnsi"/>
          <w:b/>
          <w:sz w:val="22"/>
          <w:szCs w:val="22"/>
        </w:rPr>
        <w:t>a munkafolyamatok egyes fázisait más-más vezetők irányítása alatt dolgozó külön ügyintézők végezzék</w:t>
      </w:r>
      <w:r w:rsidRPr="001B1666">
        <w:rPr>
          <w:rFonts w:asciiTheme="majorHAnsi" w:hAnsiTheme="majorHAnsi"/>
          <w:sz w:val="22"/>
          <w:szCs w:val="22"/>
        </w:rPr>
        <w:t xml:space="preserve">, számos vezetői kontrollponttal és a döntéseknél „négy szem” elvének érvényesítésével. Ennek keretében már korábban szétválasztották a jogi és felügyeleti szervezeti egységeket. Szintén az intézményen belüli kontrollokat erősíti (s emellett persze minimalizálja a humánkockázatot is), hogy </w:t>
      </w:r>
      <w:r w:rsidRPr="001B1666">
        <w:rPr>
          <w:rFonts w:asciiTheme="majorHAnsi" w:hAnsiTheme="majorHAnsi"/>
          <w:b/>
          <w:sz w:val="22"/>
          <w:szCs w:val="22"/>
        </w:rPr>
        <w:t>az MNB digitális adatelemzésen alapuló felügyelési módszertant alakított ki</w:t>
      </w:r>
      <w:r w:rsidRPr="001B1666">
        <w:rPr>
          <w:rFonts w:asciiTheme="majorHAnsi" w:hAnsiTheme="majorHAnsi"/>
          <w:sz w:val="22"/>
          <w:szCs w:val="22"/>
        </w:rPr>
        <w:t>.</w:t>
      </w:r>
    </w:p>
    <w:p w14:paraId="45258401" w14:textId="77777777" w:rsidR="00AC25C5" w:rsidRPr="001B1666" w:rsidRDefault="00AC25C5" w:rsidP="00AC25C5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b/>
          <w:sz w:val="22"/>
          <w:szCs w:val="22"/>
        </w:rPr>
        <w:t xml:space="preserve">A szakértő kollégák kiemelt figyelmet fordítanak az integritásra és a korrupció megelőzési tudatosság erősítésére a szervezeti kultúrában. </w:t>
      </w:r>
      <w:r w:rsidRPr="001B1666">
        <w:rPr>
          <w:rFonts w:asciiTheme="majorHAnsi" w:hAnsiTheme="majorHAnsi"/>
          <w:sz w:val="22"/>
          <w:szCs w:val="22"/>
        </w:rPr>
        <w:t>A képzéseken, tréningeken keresztül mind az MNB-hez belépő új kollégák, mind pedig már az itt dolgozó munkavállalók is bekapcsolódnak az integritással kapcsolatos folyamatokba. Az aktív képzési tevékenység mellett a szervezet belső szabályrendszerének folyamatos karbantartása és felügyelete, valamint a kontrolljainak megfelelőségi vizsgálata is a szakterület fókuszában van.</w:t>
      </w:r>
    </w:p>
    <w:p w14:paraId="4B45F480" w14:textId="10D171F7" w:rsidR="00AC25C5" w:rsidRPr="001B1666" w:rsidRDefault="00AC25C5" w:rsidP="00AC25C5">
      <w:pPr>
        <w:spacing w:after="240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t>A jegybank az idei év elején – több nemzeti hatóság, civil szervezet és a média egyes képviselőin túlmenően – számot adott a hazánkba látogató, Magyarországot vizsgáló Gazdasági Együttműködési és Fejlesztési Szervezet (OECD) Vesztegetés Elleni Munkacsoportjának a témát érintő keretrendszereiről és tevékenységéről. E vizsgálat kapcsán kiemelendő, hogy a munkacsoport nem fogalmazott meg ajánlást, megállapítást az MNB-re vonatkozó összefoglaló jelentésében.</w:t>
      </w:r>
    </w:p>
    <w:p w14:paraId="4E0DC2B5" w14:textId="00F37984" w:rsidR="0073664B" w:rsidRPr="001B1666" w:rsidRDefault="0073664B">
      <w:pPr>
        <w:spacing w:after="160" w:line="259" w:lineRule="auto"/>
        <w:jc w:val="left"/>
        <w:rPr>
          <w:rFonts w:asciiTheme="majorHAnsi" w:hAnsiTheme="majorHAnsi"/>
          <w:sz w:val="22"/>
          <w:szCs w:val="22"/>
        </w:rPr>
      </w:pPr>
      <w:r w:rsidRPr="001B1666">
        <w:rPr>
          <w:rFonts w:asciiTheme="majorHAnsi" w:hAnsiTheme="majorHAnsi"/>
          <w:sz w:val="22"/>
          <w:szCs w:val="22"/>
        </w:rPr>
        <w:br w:type="page"/>
      </w:r>
    </w:p>
    <w:p w14:paraId="142EE244" w14:textId="77777777" w:rsidR="0073664B" w:rsidRPr="00A33228" w:rsidRDefault="0073664B" w:rsidP="00AC25C5">
      <w:pPr>
        <w:pBdr>
          <w:bottom w:val="single" w:sz="6" w:space="1" w:color="auto"/>
        </w:pBdr>
        <w:spacing w:after="240"/>
        <w:rPr>
          <w:rFonts w:asciiTheme="minorHAnsi" w:hAnsiTheme="minorHAnsi"/>
          <w:sz w:val="22"/>
          <w:szCs w:val="22"/>
        </w:rPr>
      </w:pPr>
    </w:p>
    <w:p w14:paraId="1E90741F" w14:textId="6192B6BD" w:rsidR="00E5155E" w:rsidRPr="00A33228" w:rsidRDefault="00E5155E" w:rsidP="00E5155E">
      <w:pPr>
        <w:spacing w:after="12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33228">
        <w:rPr>
          <w:rFonts w:asciiTheme="minorHAnsi" w:hAnsiTheme="minorHAnsi"/>
        </w:rPr>
        <w:t xml:space="preserve"> </w:t>
      </w:r>
      <w:r w:rsidRPr="00A33228">
        <w:rPr>
          <w:rFonts w:asciiTheme="minorHAnsi" w:hAnsiTheme="minorHAnsi"/>
          <w:noProof/>
        </w:rPr>
        <w:drawing>
          <wp:anchor distT="0" distB="0" distL="114300" distR="114300" simplePos="0" relativeHeight="251694080" behindDoc="0" locked="0" layoutInCell="1" allowOverlap="1" wp14:anchorId="100ECB93" wp14:editId="1C30007E">
            <wp:simplePos x="0" y="0"/>
            <wp:positionH relativeFrom="column">
              <wp:posOffset>-11430</wp:posOffset>
            </wp:positionH>
            <wp:positionV relativeFrom="paragraph">
              <wp:posOffset>1270</wp:posOffset>
            </wp:positionV>
            <wp:extent cx="1827530" cy="962025"/>
            <wp:effectExtent l="0" t="0" r="1270" b="9525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A Közbeszerzési Hatóság 2016. november 17-én csatlakozott a korrupcióellenes együttműködéshez. </w:t>
      </w:r>
      <w:r w:rsidRPr="00A3322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A szervezet elkötelezett abban, hogy működése átlátható, etikus és feddhetetlen legyen, ennek megfelelően célja az integritás alapú működés fenntartása. </w:t>
      </w:r>
    </w:p>
    <w:p w14:paraId="26C39DC8" w14:textId="77777777" w:rsidR="00E5155E" w:rsidRPr="00A33228" w:rsidRDefault="00E5155E" w:rsidP="00E5155E">
      <w:pPr>
        <w:spacing w:after="120"/>
        <w:rPr>
          <w:rFonts w:asciiTheme="minorHAnsi" w:eastAsia="Calibri" w:hAnsiTheme="minorHAnsi"/>
          <w:sz w:val="22"/>
          <w:szCs w:val="22"/>
          <w:lang w:eastAsia="en-US"/>
        </w:rPr>
      </w:pP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A Közbeszerzési Hatóság 2019-ben is két oldalról erősítette korrupcióellenes tevékenységét. Egyrészt </w:t>
      </w:r>
      <w:r w:rsidRPr="00A33228">
        <w:rPr>
          <w:rFonts w:asciiTheme="minorHAnsi" w:eastAsia="Calibri" w:hAnsiTheme="minorHAnsi"/>
          <w:b/>
          <w:sz w:val="22"/>
          <w:szCs w:val="22"/>
          <w:lang w:eastAsia="en-US"/>
        </w:rPr>
        <w:t>szervezeti integritásának</w:t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, másrészt a </w:t>
      </w:r>
      <w:r w:rsidRPr="00A33228">
        <w:rPr>
          <w:rFonts w:asciiTheme="minorHAnsi" w:eastAsia="Calibri" w:hAnsiTheme="minorHAnsi"/>
          <w:b/>
          <w:sz w:val="22"/>
          <w:szCs w:val="22"/>
          <w:lang w:eastAsia="en-US"/>
        </w:rPr>
        <w:t>közbeszerzések átláthatóságának</w:t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 erősítése oldaláról. </w:t>
      </w:r>
    </w:p>
    <w:p w14:paraId="3988D74D" w14:textId="77777777" w:rsidR="00E5155E" w:rsidRPr="00A33228" w:rsidRDefault="00E5155E" w:rsidP="00E5155E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1B8700D" w14:textId="77777777" w:rsidR="00E5155E" w:rsidRPr="00A33228" w:rsidRDefault="00E5155E" w:rsidP="00E5155E">
      <w:pPr>
        <w:spacing w:after="120"/>
        <w:rPr>
          <w:rFonts w:asciiTheme="minorHAnsi" w:hAnsiTheme="minorHAnsi"/>
          <w:b/>
          <w:color w:val="000000" w:themeColor="text1"/>
          <w:spacing w:val="-4"/>
          <w:sz w:val="22"/>
          <w:szCs w:val="22"/>
        </w:rPr>
      </w:pPr>
      <w:r w:rsidRPr="00A33228">
        <w:rPr>
          <w:rFonts w:asciiTheme="minorHAnsi" w:eastAsia="Calibri" w:hAnsiTheme="minorHAnsi"/>
          <w:b/>
          <w:sz w:val="22"/>
          <w:szCs w:val="22"/>
          <w:lang w:eastAsia="en-US"/>
        </w:rPr>
        <w:t>A Közbeszerzési Hatóság szervezeti integritásának erősítése (belső integritás)</w:t>
      </w:r>
    </w:p>
    <w:p w14:paraId="2BAF7CB7" w14:textId="77777777" w:rsidR="00E5155E" w:rsidRPr="00A33228" w:rsidRDefault="00E5155E" w:rsidP="00E5155E">
      <w:pPr>
        <w:tabs>
          <w:tab w:val="center" w:pos="6804"/>
        </w:tabs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A tavalyi esztendőben kiépítettük az integritás alapjait (integritásfelelős kijelölése, munkacsoport megalakítása, szabályzatok felülvizsgálata, érzékenyítő tréning szervezése), melyet az idén továbbfejlesztettünk a rendszer folyamatos </w:t>
      </w:r>
      <w:proofErr w:type="spellStart"/>
      <w:r w:rsidRPr="00A33228">
        <w:rPr>
          <w:rFonts w:asciiTheme="minorHAnsi" w:eastAsia="Calibri" w:hAnsiTheme="minorHAnsi"/>
          <w:sz w:val="22"/>
          <w:szCs w:val="22"/>
          <w:lang w:eastAsia="en-US"/>
        </w:rPr>
        <w:t>monitoringjával</w:t>
      </w:r>
      <w:proofErr w:type="spellEnd"/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, és belső képzésekkel. Az idei évben új Beszerzési Szabályzatot készítettünk azzal a céllal, hogy gyakorlatorientált, a beszerzési munkát gördülékenyebbé tevő szabályokat alakítsunk ki, valamint a beszerzési folyamatban résztvevő szervezeti egységek feladat-, és hatásköreit </w:t>
      </w:r>
      <w:proofErr w:type="spellStart"/>
      <w:r w:rsidRPr="00A33228">
        <w:rPr>
          <w:rFonts w:asciiTheme="minorHAnsi" w:eastAsia="Calibri" w:hAnsiTheme="minorHAnsi"/>
          <w:sz w:val="22"/>
          <w:szCs w:val="22"/>
          <w:lang w:eastAsia="en-US"/>
        </w:rPr>
        <w:t>teljeskörűen</w:t>
      </w:r>
      <w:proofErr w:type="spellEnd"/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 elhatároljuk. Az új szabályok sokkal szigorúbbak, ezáltal a beszerzési folyamatok átláthatóságát és az integritást erősítik. </w:t>
      </w:r>
    </w:p>
    <w:p w14:paraId="065031BB" w14:textId="77777777" w:rsidR="00E5155E" w:rsidRPr="00A33228" w:rsidRDefault="00E5155E" w:rsidP="00E5155E">
      <w:pPr>
        <w:tabs>
          <w:tab w:val="center" w:pos="6804"/>
        </w:tabs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33228">
        <w:rPr>
          <w:rFonts w:asciiTheme="minorHAnsi" w:eastAsia="Calibri" w:hAnsiTheme="minorHAnsi"/>
          <w:b/>
          <w:sz w:val="22"/>
          <w:szCs w:val="22"/>
          <w:lang w:eastAsia="en-US"/>
        </w:rPr>
        <w:t>A közbeszerzések átláthatóságának erősítése (hatáskörből fakadó integritás)</w:t>
      </w:r>
    </w:p>
    <w:p w14:paraId="4D907DB8" w14:textId="77777777" w:rsidR="00E5155E" w:rsidRPr="00A33228" w:rsidRDefault="00E5155E" w:rsidP="00E5155E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A Közbeszerzési Hatóság – összhangban az Állami Számvevőszék törekvéseivel –szorgalmazza olyan megbízható statisztikai adatokon alapuló megalapozott mérési módszertan alkalmazását, amely valós képet ad egy-egy uniós tagállam közbeszerzési piacán tapasztalható versenyhelyzetről. A Közbeszerzési Hatóság aggályosnak tartja, hogy a tagállamok közötti összehasonlítás alapját képező TED adatbázis hiányos, és emiatt annak megbízhatósága is kifogásolható, mivel a </w:t>
      </w:r>
      <w:r w:rsidRPr="00A33228">
        <w:rPr>
          <w:rFonts w:asciiTheme="minorHAnsi" w:hAnsiTheme="minorHAnsi"/>
          <w:sz w:val="22"/>
          <w:szCs w:val="22"/>
        </w:rPr>
        <w:t>tagállami ajánlatkérők nem minden esetben teszik közzé az eljárásaik eredményéről szóló tájékoztatóikat</w:t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3B33CAD2" w14:textId="77777777" w:rsidR="00E5155E" w:rsidRPr="00A33228" w:rsidRDefault="00E5155E" w:rsidP="00E5155E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A Közbeszerzési Hatóság egyik fő feladata a közbeszerzési eljárások törvényességének ellenőrzése. Amennyiben jogsértés gyanúja merül fel, a Közbeszerzési Döntőbizottság bírálja el az ügyet, amely nagy hangsúlyt fektet arra, hogy olyan esetekben, ahol súlyos jogsértés valósul meg, </w:t>
      </w:r>
      <w:r w:rsidRPr="00A33228">
        <w:rPr>
          <w:rFonts w:asciiTheme="minorHAnsi" w:eastAsia="Calibri" w:hAnsiTheme="minorHAnsi"/>
          <w:b/>
          <w:sz w:val="22"/>
          <w:szCs w:val="22"/>
          <w:lang w:eastAsia="en-US"/>
        </w:rPr>
        <w:t>jelentős bírságot szabjon ki</w:t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. A következetes bírságolási gyakorlatnak van visszatartó ereje: a közbeszerzési eljárások résztvevői </w:t>
      </w:r>
      <w:r w:rsidRPr="00A33228">
        <w:rPr>
          <w:rFonts w:asciiTheme="minorHAnsi" w:eastAsia="Calibri" w:hAnsiTheme="minorHAnsi"/>
          <w:b/>
          <w:sz w:val="22"/>
          <w:szCs w:val="22"/>
          <w:lang w:eastAsia="en-US"/>
        </w:rPr>
        <w:t>egyre inkább törekednek a jogszerű eljárások lefolytatására</w:t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, az előző évekhez képest az idei évben kisebb arányban követtek el súlyos jogsértéseket.  </w:t>
      </w:r>
    </w:p>
    <w:p w14:paraId="4CF89EFF" w14:textId="77777777" w:rsidR="00E5155E" w:rsidRPr="00A33228" w:rsidRDefault="00E5155E" w:rsidP="00E5155E">
      <w:pPr>
        <w:spacing w:after="200"/>
        <w:rPr>
          <w:rFonts w:asciiTheme="minorHAnsi" w:hAnsiTheme="minorHAnsi"/>
          <w:sz w:val="22"/>
          <w:szCs w:val="22"/>
        </w:rPr>
      </w:pP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A Közbeszerzési Hatóság 2015. novembere óta, Európában egyedülálló módon hatósági ellenőrzés keretében vizsgálja a </w:t>
      </w:r>
      <w:r w:rsidRPr="00A33228">
        <w:rPr>
          <w:rFonts w:asciiTheme="minorHAnsi" w:eastAsia="Calibri" w:hAnsiTheme="minorHAnsi"/>
          <w:b/>
          <w:bCs/>
          <w:sz w:val="22"/>
          <w:szCs w:val="22"/>
          <w:lang w:eastAsia="en-US"/>
        </w:rPr>
        <w:t>megkötött közbeszerzési szerződések teljesítését</w:t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33228">
        <w:rPr>
          <w:rFonts w:asciiTheme="minorHAnsi" w:eastAsia="Calibri" w:hAnsiTheme="minorHAnsi"/>
          <w:b/>
          <w:bCs/>
          <w:sz w:val="22"/>
          <w:szCs w:val="22"/>
          <w:lang w:eastAsia="en-US"/>
        </w:rPr>
        <w:t>és módosítását</w:t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, amely kiemelten fontos, mivel a közbeszerzési jogsértések nem csupán a közbeszerzési eljárások, hanem a szerződések teljesítése során is tetten érhetők. Az ellenőrzés keretében a Közbeszerzési Hatóság munkatársai akár helyszíni ellenőrzés során, szükség esetén igazságügyi szakértő igénybevételével győződhetnek meg a teljesítés jogszerűségéről. E tevékenységünket jól példázza, hogy </w:t>
      </w:r>
      <w:r w:rsidRPr="00A33228">
        <w:rPr>
          <w:rFonts w:asciiTheme="minorHAnsi" w:hAnsiTheme="minorHAnsi"/>
          <w:sz w:val="22"/>
          <w:szCs w:val="22"/>
        </w:rPr>
        <w:t>2018. decemberében jogorvoslati eljárásokat kezdeményeztünk a Közbeszerzési Döntőbizottság előtt olyan jelentős előleg kifizetések miatt, amelyekben a gazdasági szereplők vezető tisztségviselői és tulajdonosi köre között átfedések voltak kimutathatók. A Közbeszerzési Döntőbizottság valamennyi esetben jogsértés elkövetését állapította meg, és az ajánlatkérőket, valamint nyertes ajánlattevőket mindösszesen 249.000.000 Ft bírság megfizetésére kötelezte, így védve az európai uniós forrásokat.</w:t>
      </w:r>
    </w:p>
    <w:p w14:paraId="78F88C20" w14:textId="77777777" w:rsidR="00E5155E" w:rsidRPr="00A33228" w:rsidRDefault="00E5155E" w:rsidP="00E5155E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A Közbeszerzési Hatóság egyik fő célja a verseny és az átláthatóság növelése érdekében, a nem nyilvánosan, azaz </w:t>
      </w:r>
      <w:r w:rsidRPr="00A33228">
        <w:rPr>
          <w:rFonts w:asciiTheme="minorHAnsi" w:eastAsia="Calibri" w:hAnsiTheme="minorHAnsi"/>
          <w:b/>
          <w:sz w:val="22"/>
          <w:szCs w:val="22"/>
          <w:lang w:eastAsia="en-US"/>
        </w:rPr>
        <w:t>a hirdetmény nélkül induló tárgyalásos eljárások számának jelentős visszaszorítása</w:t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. A szigorú ellenőrzési tevékenységnek köszönhetően az előző évekhez képest számottevően csökkent a nem nyilvános eljárások aránya (2014-ben 3626; 2015-ben 3003; 2016-ban 870; 2017-ben 482; </w:t>
      </w:r>
      <w:r w:rsidRPr="00A33228">
        <w:rPr>
          <w:rFonts w:asciiTheme="minorHAnsi" w:eastAsia="Calibri" w:hAnsiTheme="minorHAnsi"/>
          <w:bCs/>
          <w:sz w:val="22"/>
          <w:szCs w:val="22"/>
          <w:lang w:eastAsia="en-US"/>
        </w:rPr>
        <w:t>2018-</w:t>
      </w:r>
      <w:proofErr w:type="gramStart"/>
      <w:r w:rsidRPr="00A33228">
        <w:rPr>
          <w:rFonts w:asciiTheme="minorHAnsi" w:eastAsia="Calibri" w:hAnsiTheme="minorHAnsi"/>
          <w:bCs/>
          <w:sz w:val="22"/>
          <w:szCs w:val="22"/>
          <w:lang w:eastAsia="en-US"/>
        </w:rPr>
        <w:t>ban  329</w:t>
      </w:r>
      <w:proofErr w:type="gramEnd"/>
      <w:r w:rsidRPr="00A3322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; </w:t>
      </w:r>
      <w:r w:rsidRPr="00A33228">
        <w:rPr>
          <w:rFonts w:asciiTheme="minorHAnsi" w:eastAsia="Calibri" w:hAnsiTheme="minorHAnsi"/>
          <w:sz w:val="22"/>
          <w:szCs w:val="22"/>
        </w:rPr>
        <w:t>2019. november végéig pedig 247 hirdetmény nélküli tárgyalásos eljárás került megindításra)</w:t>
      </w:r>
      <w:r w:rsidRPr="00A3322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volt ezen eljárások száma.</w:t>
      </w:r>
      <w:r w:rsidRPr="00A3322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224B29D" w14:textId="3AA52961" w:rsidR="00E5155E" w:rsidRPr="00A33228" w:rsidRDefault="00E5155E" w:rsidP="00E5155E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A33228">
        <w:rPr>
          <w:rFonts w:asciiTheme="minorHAnsi" w:hAnsiTheme="minorHAnsi"/>
          <w:noProof/>
        </w:rPr>
        <w:drawing>
          <wp:inline distT="0" distB="0" distL="0" distR="0" wp14:anchorId="22A49262" wp14:editId="25F4C7E3">
            <wp:extent cx="5445760" cy="2886710"/>
            <wp:effectExtent l="0" t="0" r="2540" b="8890"/>
            <wp:docPr id="18" name="Diagram 18">
              <a:extLst xmlns:a="http://schemas.openxmlformats.org/drawingml/2006/main">
                <a:ext uri="{FF2B5EF4-FFF2-40B4-BE49-F238E27FC236}">
                  <a16:creationId xmlns:a16="http://schemas.microsoft.com/office/drawing/2014/main" id="{DFBDF685-23A6-4582-9E6E-0FE7D97FA1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4E52F25" w14:textId="77777777" w:rsidR="00E5155E" w:rsidRPr="00A33228" w:rsidRDefault="00E5155E" w:rsidP="00E5155E">
      <w:pPr>
        <w:tabs>
          <w:tab w:val="center" w:pos="6804"/>
        </w:tabs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</w:p>
    <w:p w14:paraId="0D892626" w14:textId="5076BD22" w:rsidR="0073664B" w:rsidRPr="00A33228" w:rsidRDefault="0073664B" w:rsidP="00E5155E">
      <w:pPr>
        <w:spacing w:after="120"/>
        <w:rPr>
          <w:rFonts w:asciiTheme="minorHAnsi" w:hAnsiTheme="minorHAnsi"/>
          <w:sz w:val="22"/>
          <w:szCs w:val="22"/>
        </w:rPr>
      </w:pPr>
    </w:p>
    <w:sectPr w:rsidR="0073664B" w:rsidRPr="00A33228" w:rsidSect="00A17B35">
      <w:pgSz w:w="11906" w:h="16838"/>
      <w:pgMar w:top="567" w:right="1021" w:bottom="249" w:left="102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6E923" w14:textId="77777777" w:rsidR="000A6FDC" w:rsidRDefault="000A6FDC" w:rsidP="00FD79E2">
      <w:r>
        <w:separator/>
      </w:r>
    </w:p>
  </w:endnote>
  <w:endnote w:type="continuationSeparator" w:id="0">
    <w:p w14:paraId="7602EDE1" w14:textId="77777777" w:rsidR="000A6FDC" w:rsidRDefault="000A6FDC" w:rsidP="00FD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D200" w14:textId="77777777" w:rsidR="000A6FDC" w:rsidRDefault="000A6FDC" w:rsidP="00FD79E2">
      <w:r>
        <w:separator/>
      </w:r>
    </w:p>
  </w:footnote>
  <w:footnote w:type="continuationSeparator" w:id="0">
    <w:p w14:paraId="4B2ED24F" w14:textId="77777777" w:rsidR="000A6FDC" w:rsidRDefault="000A6FDC" w:rsidP="00FD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4D89"/>
    <w:multiLevelType w:val="hybridMultilevel"/>
    <w:tmpl w:val="AC5CD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291D"/>
    <w:multiLevelType w:val="hybridMultilevel"/>
    <w:tmpl w:val="2D2AED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0844"/>
    <w:multiLevelType w:val="hybridMultilevel"/>
    <w:tmpl w:val="B0BC990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41152"/>
    <w:multiLevelType w:val="hybridMultilevel"/>
    <w:tmpl w:val="5406FC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2382"/>
    <w:multiLevelType w:val="hybridMultilevel"/>
    <w:tmpl w:val="D2604082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57348"/>
    <w:multiLevelType w:val="hybridMultilevel"/>
    <w:tmpl w:val="B2309116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2D7A4B"/>
    <w:multiLevelType w:val="hybridMultilevel"/>
    <w:tmpl w:val="D3E6BCC2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D6"/>
    <w:rsid w:val="0004230F"/>
    <w:rsid w:val="00071FE7"/>
    <w:rsid w:val="00083A6F"/>
    <w:rsid w:val="000A6FDC"/>
    <w:rsid w:val="00120FA5"/>
    <w:rsid w:val="00132687"/>
    <w:rsid w:val="001A2CF2"/>
    <w:rsid w:val="001B1666"/>
    <w:rsid w:val="001D049E"/>
    <w:rsid w:val="001D458C"/>
    <w:rsid w:val="001F3E72"/>
    <w:rsid w:val="00216E6A"/>
    <w:rsid w:val="00221833"/>
    <w:rsid w:val="002269E6"/>
    <w:rsid w:val="00231827"/>
    <w:rsid w:val="00245BEF"/>
    <w:rsid w:val="002550BC"/>
    <w:rsid w:val="00256FFE"/>
    <w:rsid w:val="00265338"/>
    <w:rsid w:val="00295E00"/>
    <w:rsid w:val="002A6E85"/>
    <w:rsid w:val="002C2B78"/>
    <w:rsid w:val="002E19CB"/>
    <w:rsid w:val="002E53F4"/>
    <w:rsid w:val="0030035A"/>
    <w:rsid w:val="0031734E"/>
    <w:rsid w:val="00354908"/>
    <w:rsid w:val="0036182B"/>
    <w:rsid w:val="00373F36"/>
    <w:rsid w:val="00396E24"/>
    <w:rsid w:val="003A391D"/>
    <w:rsid w:val="003F21D6"/>
    <w:rsid w:val="0040798F"/>
    <w:rsid w:val="00437465"/>
    <w:rsid w:val="004440D8"/>
    <w:rsid w:val="00445650"/>
    <w:rsid w:val="0044571D"/>
    <w:rsid w:val="00464D0A"/>
    <w:rsid w:val="00484CF3"/>
    <w:rsid w:val="004C052F"/>
    <w:rsid w:val="004D0603"/>
    <w:rsid w:val="004D2DF7"/>
    <w:rsid w:val="004F6C1F"/>
    <w:rsid w:val="00505E92"/>
    <w:rsid w:val="00541AE5"/>
    <w:rsid w:val="00543797"/>
    <w:rsid w:val="00556E32"/>
    <w:rsid w:val="00574F60"/>
    <w:rsid w:val="005A3F09"/>
    <w:rsid w:val="005B1160"/>
    <w:rsid w:val="005B4B9A"/>
    <w:rsid w:val="005B51E2"/>
    <w:rsid w:val="005F1BCC"/>
    <w:rsid w:val="00601B27"/>
    <w:rsid w:val="00620FC0"/>
    <w:rsid w:val="00623F56"/>
    <w:rsid w:val="006A0673"/>
    <w:rsid w:val="006D1904"/>
    <w:rsid w:val="006E0C62"/>
    <w:rsid w:val="006E3CE5"/>
    <w:rsid w:val="006E63F3"/>
    <w:rsid w:val="006F3878"/>
    <w:rsid w:val="00711731"/>
    <w:rsid w:val="00712570"/>
    <w:rsid w:val="00716D0E"/>
    <w:rsid w:val="00720EEE"/>
    <w:rsid w:val="0073664B"/>
    <w:rsid w:val="007377D3"/>
    <w:rsid w:val="00752C27"/>
    <w:rsid w:val="007664E3"/>
    <w:rsid w:val="007730F2"/>
    <w:rsid w:val="00777946"/>
    <w:rsid w:val="007B73EF"/>
    <w:rsid w:val="007C1FDF"/>
    <w:rsid w:val="007D3EB7"/>
    <w:rsid w:val="00822251"/>
    <w:rsid w:val="00871D43"/>
    <w:rsid w:val="008859E7"/>
    <w:rsid w:val="0089133E"/>
    <w:rsid w:val="00894155"/>
    <w:rsid w:val="00895DE1"/>
    <w:rsid w:val="008C2D3F"/>
    <w:rsid w:val="008E67BE"/>
    <w:rsid w:val="008F3CC6"/>
    <w:rsid w:val="009208BC"/>
    <w:rsid w:val="00991BC8"/>
    <w:rsid w:val="009A7CF1"/>
    <w:rsid w:val="009B33F3"/>
    <w:rsid w:val="009C38AB"/>
    <w:rsid w:val="00A0370D"/>
    <w:rsid w:val="00A17B35"/>
    <w:rsid w:val="00A27462"/>
    <w:rsid w:val="00A33228"/>
    <w:rsid w:val="00A704C7"/>
    <w:rsid w:val="00A76028"/>
    <w:rsid w:val="00A96BC9"/>
    <w:rsid w:val="00AB794F"/>
    <w:rsid w:val="00AC25C5"/>
    <w:rsid w:val="00AC28A3"/>
    <w:rsid w:val="00AC2E7F"/>
    <w:rsid w:val="00B21C66"/>
    <w:rsid w:val="00B25D55"/>
    <w:rsid w:val="00B31411"/>
    <w:rsid w:val="00B60C48"/>
    <w:rsid w:val="00B71666"/>
    <w:rsid w:val="00BB0A10"/>
    <w:rsid w:val="00BB397A"/>
    <w:rsid w:val="00BB7328"/>
    <w:rsid w:val="00BF1157"/>
    <w:rsid w:val="00C36BD6"/>
    <w:rsid w:val="00C50386"/>
    <w:rsid w:val="00C51A06"/>
    <w:rsid w:val="00C63C83"/>
    <w:rsid w:val="00C65F72"/>
    <w:rsid w:val="00CA6BDE"/>
    <w:rsid w:val="00CF3A2C"/>
    <w:rsid w:val="00D16758"/>
    <w:rsid w:val="00D261BB"/>
    <w:rsid w:val="00D30303"/>
    <w:rsid w:val="00D34E95"/>
    <w:rsid w:val="00D34F2E"/>
    <w:rsid w:val="00D46416"/>
    <w:rsid w:val="00D67535"/>
    <w:rsid w:val="00D71DF7"/>
    <w:rsid w:val="00D83FFC"/>
    <w:rsid w:val="00DA19E2"/>
    <w:rsid w:val="00DC1DB5"/>
    <w:rsid w:val="00DE2C99"/>
    <w:rsid w:val="00E011E2"/>
    <w:rsid w:val="00E07E0C"/>
    <w:rsid w:val="00E10892"/>
    <w:rsid w:val="00E5155E"/>
    <w:rsid w:val="00E5334E"/>
    <w:rsid w:val="00E5670E"/>
    <w:rsid w:val="00E613D3"/>
    <w:rsid w:val="00E66AC0"/>
    <w:rsid w:val="00E8089A"/>
    <w:rsid w:val="00E8701A"/>
    <w:rsid w:val="00E9565D"/>
    <w:rsid w:val="00EA003F"/>
    <w:rsid w:val="00F025EB"/>
    <w:rsid w:val="00F46C1D"/>
    <w:rsid w:val="00F51F35"/>
    <w:rsid w:val="00F54866"/>
    <w:rsid w:val="00F57D50"/>
    <w:rsid w:val="00F67EAE"/>
    <w:rsid w:val="00F8012C"/>
    <w:rsid w:val="00F97942"/>
    <w:rsid w:val="00FA5876"/>
    <w:rsid w:val="00FC2E94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665B"/>
  <w15:docId w15:val="{860F72BF-026E-4F7A-B46C-C56963F4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21D6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77D3"/>
    <w:pPr>
      <w:ind w:left="720"/>
      <w:contextualSpacing/>
    </w:pPr>
  </w:style>
  <w:style w:type="character" w:styleId="Hiperhivatkozs">
    <w:name w:val="Hyperlink"/>
    <w:rsid w:val="007377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4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41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79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79E2"/>
    <w:rPr>
      <w:rFonts w:ascii="Garamond" w:eastAsia="Times New Roman" w:hAnsi="Garamond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79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79E2"/>
    <w:rPr>
      <w:rFonts w:ascii="Garamond" w:eastAsia="Times New Roman" w:hAnsi="Garamond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4D0603"/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4D06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550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0B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0BC"/>
    <w:rPr>
      <w:rFonts w:ascii="Garamond" w:eastAsia="Times New Roman" w:hAnsi="Garamond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0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0BC"/>
    <w:rPr>
      <w:rFonts w:ascii="Garamond" w:eastAsia="Times New Roman" w:hAnsi="Garamond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550B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paragraph" w:customStyle="1" w:styleId="Standard">
    <w:name w:val="Standard"/>
    <w:rsid w:val="006A067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6A067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Kiemels2">
    <w:name w:val="Strong"/>
    <w:uiPriority w:val="22"/>
    <w:qFormat/>
    <w:rsid w:val="006A0673"/>
    <w:rPr>
      <w:b/>
      <w:bCs/>
    </w:rPr>
  </w:style>
  <w:style w:type="character" w:customStyle="1" w:styleId="Stratgia3szintcmeChar">
    <w:name w:val="Stratégia 3. szintű címe Char"/>
    <w:link w:val="Stratgia3szintcme"/>
    <w:locked/>
    <w:rsid w:val="0089415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ratgia3szintcme">
    <w:name w:val="Stratégia 3. szintű címe"/>
    <w:basedOn w:val="Norml"/>
    <w:link w:val="Stratgia3szintcmeChar"/>
    <w:qFormat/>
    <w:rsid w:val="00894155"/>
    <w:rPr>
      <w:rFonts w:ascii="Times New Roman" w:eastAsia="Calibr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/>
              <a:t>A</a:t>
            </a:r>
            <a:r>
              <a:rPr lang="hu-HU" b="1" baseline="0"/>
              <a:t> megindított hirdetmény nélküli tárgyalásos eljárások alakulása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Munka1!$B$2</c:f>
              <c:strCache>
                <c:ptCount val="1"/>
                <c:pt idx="0">
                  <c:v>HNT eljárások száma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159-45EB-97B3-961C889E26FF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159-45EB-97B3-961C889E26F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159-45EB-97B3-961C889E26F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159-45EB-97B3-961C889E26FF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159-45EB-97B3-961C889E26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Munka1!$A$3:$A$8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2019. 11. 30-ig</c:v>
                </c:pt>
              </c:strCache>
            </c:strRef>
          </c:cat>
          <c:val>
            <c:numRef>
              <c:f>Munka1!$B$3:$B$8</c:f>
              <c:numCache>
                <c:formatCode>General</c:formatCode>
                <c:ptCount val="6"/>
                <c:pt idx="0">
                  <c:v>3626</c:v>
                </c:pt>
                <c:pt idx="1">
                  <c:v>3003</c:v>
                </c:pt>
                <c:pt idx="2">
                  <c:v>870</c:v>
                </c:pt>
                <c:pt idx="3">
                  <c:v>482</c:v>
                </c:pt>
                <c:pt idx="4">
                  <c:v>329</c:v>
                </c:pt>
                <c:pt idx="5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159-45EB-97B3-961C889E2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6494568"/>
        <c:axId val="576494960"/>
      </c:barChart>
      <c:catAx>
        <c:axId val="57649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76494960"/>
        <c:crosses val="autoZero"/>
        <c:auto val="1"/>
        <c:lblAlgn val="ctr"/>
        <c:lblOffset val="100"/>
        <c:noMultiLvlLbl val="0"/>
      </c:catAx>
      <c:valAx>
        <c:axId val="57649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76494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ABB4A2A2</Template>
  <TotalTime>43</TotalTime>
  <Pages>13</Pages>
  <Words>5073</Words>
  <Characters>35007</Characters>
  <Application>Microsoft Office Word</Application>
  <DocSecurity>0</DocSecurity>
  <Lines>291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RemesG</dc:creator>
  <cp:keywords/>
  <dc:description/>
  <cp:lastModifiedBy>Dévényi Olívia</cp:lastModifiedBy>
  <cp:revision>5</cp:revision>
  <cp:lastPrinted>2019-12-04T11:40:00Z</cp:lastPrinted>
  <dcterms:created xsi:type="dcterms:W3CDTF">2019-12-03T14:50:00Z</dcterms:created>
  <dcterms:modified xsi:type="dcterms:W3CDTF">2019-12-04T12:13:00Z</dcterms:modified>
</cp:coreProperties>
</file>